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48-Hour Practical Assessment</w:t>
      </w:r>
    </w:p>
    <w:p>
      <w:pPr>
        <w:pStyle w:val="Subtitle"/>
      </w:pPr>
      <w:r>
        <w:t>Junior DevOps Engineer</w:t>
      </w:r>
    </w:p>
    <w:p>
      <w:r>
        <w:t>Duration: 48 hours from receipt   |   Score: 100 points   |   Pass threshold: 70/100   |   Review: 30–45 minutes</w:t>
      </w:r>
    </w:p>
    <w:p>
      <w:pPr>
        <w:pStyle w:val="Heading1"/>
      </w:pPr>
      <w:r>
        <w:t>1  Business scenario &amp; objective</w:t>
      </w:r>
    </w:p>
    <w:p>
      <w:r>
        <w:t>Deploy and operate a small Apex Operations API in a reproducible local environment, demonstrating a reliable path from code commit to release.</w:t>
      </w:r>
    </w:p>
    <w:p>
      <w:r>
        <w:t>Objective: deliver a credible, reviewable solution that demonstrates practical judgment, execution, and clear evidence—not merely a slide deck or untested concept.</w:t>
      </w:r>
    </w:p>
    <w:p>
      <w:pPr>
        <w:pStyle w:val="Heading1"/>
      </w:pPr>
      <w:r>
        <w:t>2  Required work</w:t>
      </w:r>
    </w:p>
    <w:p>
      <w:r>
        <w:t>1. Package a minimal API (your own or a documented starter) in Docker with health/readiness endpoints and non-root execution.</w:t>
      </w:r>
    </w:p>
    <w:p>
      <w:r>
        <w:t>2. Create a CI workflow that installs dependencies, runs lint/tests, builds the container and blocks deployment when tests fail.</w:t>
      </w:r>
    </w:p>
    <w:p>
      <w:r>
        <w:t>3. Implement local deployment with Docker Compose; include application and database or mock dependency, environment configuration, and persistent storage where relevant.</w:t>
      </w:r>
    </w:p>
    <w:p>
      <w:r>
        <w:t>4. Demonstrate a safe release and rollback plan using versioned images and an executable or clearly reproducible rollback procedure.</w:t>
      </w:r>
    </w:p>
    <w:p>
      <w:r>
        <w:t>5. Add basic observability: structured logs, health checks, and a metrics/alert proposal; demonstrate one failure investigation.</w:t>
      </w:r>
    </w:p>
    <w:p>
      <w:r>
        <w:t>6. Document secrets handling, least privilege, dependency/image scanning, and a cost-aware path to cloud hosting.</w:t>
      </w:r>
    </w:p>
    <w:p>
      <w:pPr>
        <w:pStyle w:val="Heading1"/>
      </w:pPr>
      <w:r>
        <w:t>3  Required deliverables</w:t>
      </w:r>
    </w:p>
    <w:p>
      <w:r>
        <w:t>• Dockerfile, compose file, CI workflow and application source</w:t>
      </w:r>
    </w:p>
    <w:p>
      <w:r>
        <w:t>• At least 6 automated checks including one intentional failure</w:t>
      </w:r>
    </w:p>
    <w:p>
      <w:r>
        <w:t>• CI run evidence, deployment demo and rollback evidence</w:t>
      </w:r>
    </w:p>
    <w:p>
      <w:r>
        <w:t>• Runbook for deploy, rollback, incident response and troubleshooting</w:t>
      </w:r>
    </w:p>
    <w:p>
      <w:pPr>
        <w:pStyle w:val="Heading2"/>
      </w:pPr>
      <w:r>
        <w:t>Assessment conditions</w:t>
      </w:r>
    </w:p>
    <w:p>
      <w:r>
        <w:t>48 hours from receipt. Work independently; use synthetic/public data only. Do not access Apex production systems, real customers, credentials or paid cloud resources. AI assistance is permitted but must be disclosed with specific uses. State assumptions and trade-offs.</w:t>
      </w:r>
    </w:p>
    <w:p>
      <w:pPr>
        <w:pStyle w:val="Heading2"/>
      </w:pPr>
      <w:r>
        <w:t>Submission package</w:t>
      </w:r>
    </w:p>
    <w:p>
      <w:r>
        <w:t>Submit a repository or zipped source, README with exact setup/run steps, architecture or process diagram, evidence of execution (screenshots/logs), tests and results, a concise decision memo, and an AI-use disclosure. Do not submit credentials, personal data or confidential material.</w:t>
      </w:r>
    </w:p>
    <w:p>
      <w:pPr>
        <w:pStyle w:val="Heading1"/>
      </w:pPr>
      <w:r>
        <w:t>4  Evaluation rubric</w:t>
      </w:r>
    </w:p>
    <w:tbl>
      <w:tblPr>
        <w:tblStyle w:val="LightShading-Accent1"/>
        <w:tblW w:type="auto" w:w="0"/>
        <w:tblLook w:firstColumn="1" w:firstRow="1" w:lastColumn="0" w:lastRow="0" w:noHBand="0" w:noVBand="1" w:val="04A0"/>
      </w:tblPr>
      <w:tblGrid>
        <w:gridCol w:w="4925"/>
        <w:gridCol w:w="4925"/>
      </w:tblGrid>
      <w:tr>
        <w:tc>
          <w:tcPr>
            <w:tcW w:type="dxa" w:w="4925"/>
          </w:tcPr>
          <w:p>
            <w:r>
              <w:t>Criterion</w:t>
            </w:r>
          </w:p>
        </w:tc>
        <w:tc>
          <w:tcPr>
            <w:tcW w:type="dxa" w:w="4925"/>
          </w:tcPr>
          <w:p>
            <w:r>
              <w:t>Points</w:t>
            </w:r>
          </w:p>
        </w:tc>
      </w:tr>
      <w:tr>
        <w:tc>
          <w:tcPr>
            <w:tcW w:type="dxa" w:w="4925"/>
          </w:tcPr>
          <w:p>
            <w:r>
              <w:t>Reproducible deployment &amp; containers</w:t>
            </w:r>
          </w:p>
        </w:tc>
        <w:tc>
          <w:tcPr>
            <w:tcW w:type="dxa" w:w="4925"/>
          </w:tcPr>
          <w:p>
            <w:r>
              <w:t>20</w:t>
            </w:r>
          </w:p>
        </w:tc>
      </w:tr>
      <w:tr>
        <w:tc>
          <w:tcPr>
            <w:tcW w:type="dxa" w:w="4925"/>
          </w:tcPr>
          <w:p>
            <w:r>
              <w:t>CI/CD quality and release safety</w:t>
            </w:r>
          </w:p>
        </w:tc>
        <w:tc>
          <w:tcPr>
            <w:tcW w:type="dxa" w:w="4925"/>
          </w:tcPr>
          <w:p>
            <w:r>
              <w:t>25</w:t>
            </w:r>
          </w:p>
        </w:tc>
      </w:tr>
      <w:tr>
        <w:tc>
          <w:tcPr>
            <w:tcW w:type="dxa" w:w="4925"/>
          </w:tcPr>
          <w:p>
            <w:r>
              <w:t>Security &amp; configuration hygiene</w:t>
            </w:r>
          </w:p>
        </w:tc>
        <w:tc>
          <w:tcPr>
            <w:tcW w:type="dxa" w:w="4925"/>
          </w:tcPr>
          <w:p>
            <w:r>
              <w:t>15</w:t>
            </w:r>
          </w:p>
        </w:tc>
      </w:tr>
      <w:tr>
        <w:tc>
          <w:tcPr>
            <w:tcW w:type="dxa" w:w="4925"/>
          </w:tcPr>
          <w:p>
            <w:r>
              <w:t>Monitoring, troubleshooting &amp; rollback</w:t>
            </w:r>
          </w:p>
        </w:tc>
        <w:tc>
          <w:tcPr>
            <w:tcW w:type="dxa" w:w="4925"/>
          </w:tcPr>
          <w:p>
            <w:r>
              <w:t>20</w:t>
            </w:r>
          </w:p>
        </w:tc>
      </w:tr>
      <w:tr>
        <w:tc>
          <w:tcPr>
            <w:tcW w:type="dxa" w:w="4925"/>
          </w:tcPr>
          <w:p>
            <w:r>
              <w:t>Testing &amp; documentation</w:t>
            </w:r>
          </w:p>
        </w:tc>
        <w:tc>
          <w:tcPr>
            <w:tcW w:type="dxa" w:w="4925"/>
          </w:tcPr>
          <w:p>
            <w:r>
              <w:t>15</w:t>
            </w:r>
          </w:p>
        </w:tc>
      </w:tr>
      <w:tr>
        <w:tc>
          <w:tcPr>
            <w:tcW w:type="dxa" w:w="4925"/>
          </w:tcPr>
          <w:p>
            <w:r>
              <w:t>Communication &amp; ownership</w:t>
            </w:r>
          </w:p>
        </w:tc>
        <w:tc>
          <w:tcPr>
            <w:tcW w:type="dxa" w:w="4925"/>
          </w:tcPr>
          <w:p>
            <w:r>
              <w:t>5</w:t>
            </w:r>
          </w:p>
        </w:tc>
      </w:tr>
      <w:tr>
        <w:tc>
          <w:tcPr>
            <w:tcW w:type="dxa" w:w="4925"/>
          </w:tcPr>
          <w:p>
            <w:r>
              <w:t>TOTAL</w:t>
            </w:r>
          </w:p>
        </w:tc>
        <w:tc>
          <w:tcPr>
            <w:tcW w:type="dxa" w:w="4925"/>
          </w:tcPr>
          <w:p>
            <w:r>
              <w:t>100</w:t>
            </w:r>
          </w:p>
        </w:tc>
      </w:tr>
    </w:tbl>
    <w:p>
      <w:pPr>
        <w:pStyle w:val="Heading1"/>
      </w:pPr>
      <w:r>
        <w:t>5  Critical red flags</w:t>
      </w:r>
    </w:p>
    <w:p>
      <w:r>
        <w:t>• Hard-coded secrets or exposing sensitive environment variables</w:t>
      </w:r>
    </w:p>
    <w:p>
      <w:r>
        <w:t>• Claiming a successful deployment or test without evidence</w:t>
      </w:r>
    </w:p>
    <w:p>
      <w:r>
        <w:t>• A non-reproducible solution with no usable run instructions</w:t>
      </w:r>
    </w:p>
    <w:p>
      <w:r>
        <w:t>• Misrepresentation, plagiarism, undisclosed AI-generated work presented as entirely independent, or inability to explain core submitted decisions.</w:t>
      </w:r>
    </w:p>
    <w:p>
      <w:pPr>
        <w:pStyle w:val="Heading2"/>
      </w:pPr>
      <w:r>
        <w:t>Review meeting</w:t>
      </w:r>
    </w:p>
    <w:p>
      <w:r>
        <w:t>A 30–45-minute live review follows submission. Be prepared to run or demonstrate the solution, explain decisions, troubleshoot a failure, defend trade-offs and describe what you would improve with more time.</w:t>
      </w:r>
    </w:p>
    <w:p>
      <w:pPr>
        <w:pStyle w:val="Heading2"/>
      </w:pPr>
      <w:r>
        <w:t>Passing standard</w:t>
      </w:r>
    </w:p>
    <w:p>
      <w:r>
        <w:t>70/100 is the standard threshold, provided no critical red flag is present. Passing does not guarantee selection; Apex evaluates authenticity, role readiness, communication and fit during the review.</w:t>
      </w:r>
    </w:p>
    <w:p>
      <w:pPr>
        <w:pStyle w:val="Heading1"/>
      </w:pPr>
      <w:r>
        <w:t>6  Suggested 48-hour execution plan</w:t>
      </w:r>
    </w:p>
    <w:p>
      <w:r>
        <w:t>Hours 0–6: clarify assumptions, scope and architecture. Hours 6–28: implement core deliverables. Hours 28–38: validate, test and capture evidence. Hours 38–46: document, assess risks and polish. Hours 46–48: final verification and submission.</w:t>
      </w:r>
    </w:p>
    <w:p>
      <w:pPr>
        <w:pStyle w:val="Heading1"/>
      </w:pPr>
      <w:r>
        <w:t>7  Candidate submission checklist</w:t>
      </w:r>
    </w:p>
    <w:p>
      <w:r>
        <w:t>☐ All requested files included   ☐ Reproduction steps tested   ☐ Evidence matches claims   ☐ Assumptions documented   ☐ AI assistance disclosed   ☐ No secrets or real personal data</w:t>
      </w:r>
    </w:p>
    <w:sectPr w:rsidR="00FC693F" w:rsidRPr="0006063C" w:rsidSect="00034616">
      <w:headerReference w:type="default" r:id="rId9"/>
      <w:footerReference w:type="default" r:id="rId10"/>
      <w:pgSz w:w="12240" w:h="15840"/>
      <w:pgMar w:top="979" w:right="1195" w:bottom="936"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Apex AI Arabia  •  Confidential candidate assessment  •  Role-specific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C595B"/>
      </w:rPr>
      <w:t>APEX AI ARABIA  |  TALENT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231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C595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C595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C595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