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A6CA5" w14:textId="77777777" w:rsidR="008F4742" w:rsidRDefault="008F4742" w:rsidP="008F4742">
      <w:pPr>
        <w:rPr>
          <w:b/>
          <w:bCs/>
        </w:rPr>
      </w:pPr>
      <w:r>
        <w:rPr>
          <w:b/>
          <w:bCs/>
        </w:rPr>
        <w:t>@@@Question 1</w:t>
      </w:r>
    </w:p>
    <w:p w14:paraId="4A700461" w14:textId="48DD600B" w:rsidR="008F4742" w:rsidRPr="008F4742" w:rsidRDefault="008F4742" w:rsidP="008F4742">
      <w:pPr>
        <w:rPr>
          <w:b/>
          <w:bCs/>
        </w:rPr>
      </w:pPr>
      <w:r w:rsidRPr="008F4742">
        <w:rPr>
          <w:b/>
          <w:bCs/>
        </w:rPr>
        <w:t>De ce este necesar să se reglementeze utilizarea inteligenței artificiale?</w:t>
      </w:r>
    </w:p>
    <w:p w14:paraId="4664E4CA" w14:textId="77777777" w:rsidR="008F4742" w:rsidRPr="008F4742" w:rsidRDefault="008F4742" w:rsidP="008F4742">
      <w:r w:rsidRPr="008F4742">
        <w:t>Regulamentul UE privind IA este primul act legislativ cuprinzător din lume în acest domeniu. Scopul său este de a aborda riscurile legate de sănătate, siguranță și drepturile fundamentale și de a proteja democrația, statul de drept și mediul.</w:t>
      </w:r>
    </w:p>
    <w:p w14:paraId="27A9F446" w14:textId="77777777" w:rsidR="008F4742" w:rsidRPr="008F4742" w:rsidRDefault="008F4742" w:rsidP="008F4742">
      <w:r w:rsidRPr="008F4742">
        <w:t>Adoptarea sistemelor de IA are un potențial puternic de a aduce beneficii pentru societate, de a genera creștere economică și de a consolida inovarea și competitivitatea UE la nivel mondial. Cu toate acestea, în anumite cazuri, caracteristicile specifice ale anumitor sisteme de IA pot crea noi riscuri legate de siguranța, inclusiv siguranța fizică, a utilizatorilor și de drepturile fundamentale. Unele modele puternice de IA care sunt utilizate pe scară largă ar putea chiar să prezinte riscuri sistemice.</w:t>
      </w:r>
    </w:p>
    <w:p w14:paraId="3E0CE192" w14:textId="77777777" w:rsidR="008F4742" w:rsidRPr="008F4742" w:rsidRDefault="008F4742" w:rsidP="008F4742">
      <w:r w:rsidRPr="008F4742">
        <w:t>Acest lucru duce la incertitudine juridică și la o adoptare potențial mai lentă a tehnologiilor IA de către autoritățile publice, întreprinderi și cetățeni, din cauza lipsei de încredere. Răspunsurile divergente ale autorităților naționale în ceea ce privește reglementarea ar risca să fragmenteze piața internă.</w:t>
      </w:r>
    </w:p>
    <w:p w14:paraId="0F36641A" w14:textId="77777777" w:rsidR="008F4742" w:rsidRPr="008F4742" w:rsidRDefault="008F4742" w:rsidP="008F4742">
      <w:r w:rsidRPr="008F4742">
        <w:t>Ca răspuns la aceste provocări, au fost necesare măsuri legislative care să asigure buna funcționare a pieței interne pentru sistemele de IA, în care atât beneficiile, cât și riscurile să fie abordate în mod corespunzător.</w:t>
      </w:r>
    </w:p>
    <w:p w14:paraId="0456D754" w14:textId="77777777" w:rsidR="008F4742" w:rsidRDefault="008F4742" w:rsidP="008F4742">
      <w:pPr>
        <w:rPr>
          <w:b/>
          <w:bCs/>
        </w:rPr>
      </w:pPr>
      <w:r>
        <w:rPr>
          <w:b/>
          <w:bCs/>
        </w:rPr>
        <w:t xml:space="preserve">@@@Question </w:t>
      </w:r>
      <w:r>
        <w:rPr>
          <w:b/>
          <w:bCs/>
        </w:rPr>
        <w:t>2</w:t>
      </w:r>
    </w:p>
    <w:p w14:paraId="34AAE68E" w14:textId="2581EC66" w:rsidR="008F4742" w:rsidRPr="008F4742" w:rsidRDefault="008F4742" w:rsidP="008F4742">
      <w:pPr>
        <w:rPr>
          <w:b/>
          <w:bCs/>
        </w:rPr>
      </w:pPr>
      <w:r w:rsidRPr="008F4742">
        <w:rPr>
          <w:b/>
          <w:bCs/>
        </w:rPr>
        <w:t>Cui i se va aplica Regulamentul privind IA?</w:t>
      </w:r>
    </w:p>
    <w:p w14:paraId="1B5B9667" w14:textId="77777777" w:rsidR="008F4742" w:rsidRPr="008F4742" w:rsidRDefault="008F4742" w:rsidP="008F4742">
      <w:r w:rsidRPr="008F4742">
        <w:t>Cadrul juridic li se va aplica atât entităților publice, cât și celor private, din interiorul și din afara UE, atât timp cât </w:t>
      </w:r>
      <w:r w:rsidRPr="008F4742">
        <w:rPr>
          <w:b/>
          <w:bCs/>
        </w:rPr>
        <w:t>sistemul de IA</w:t>
      </w:r>
      <w:r w:rsidRPr="008F4742">
        <w:t> este introdus pe piața Uniunii sau utilizarea sa are un impact asupra persoanelor aflate pe teritoriul UE.</w:t>
      </w:r>
    </w:p>
    <w:p w14:paraId="23A5A577" w14:textId="77777777" w:rsidR="008F4742" w:rsidRPr="008F4742" w:rsidRDefault="008F4742" w:rsidP="008F4742">
      <w:r w:rsidRPr="008F4742">
        <w:t>Obligațiile pot afecta atât furnizorii (de exemplu, un dezvoltator al unui instrument de selectare a CV-urilor), cât și implementatorii de sisteme de IA (de exemplu, o bancă ce cumpără acest instrument de selectare). Există anumite excepții de la regulament. Activitățile de cercetare, dezvoltare și creare de prototipuri care au loc înainte de introducerea pe piață a unui sistem de IA nu fac obiectul acestor reglementări. În plus, sistemele de IA care sunt concepute exclusiv în scopuri militare, de apărare sau de securitate națională sunt, de asemenea, scutite, indiferent de tipul de entitate care desfășoară activitățile respective.</w:t>
      </w:r>
      <w:r w:rsidRPr="008F4742">
        <w:rPr>
          <w:b/>
          <w:bCs/>
        </w:rPr>
        <w:t> </w:t>
      </w:r>
    </w:p>
    <w:p w14:paraId="6EB542C8" w14:textId="77777777" w:rsidR="008F4742" w:rsidRDefault="008F4742" w:rsidP="008F4742">
      <w:pPr>
        <w:rPr>
          <w:b/>
          <w:bCs/>
        </w:rPr>
      </w:pPr>
      <w:r>
        <w:rPr>
          <w:b/>
          <w:bCs/>
        </w:rPr>
        <w:t xml:space="preserve">@@@Question </w:t>
      </w:r>
      <w:r>
        <w:rPr>
          <w:b/>
          <w:bCs/>
        </w:rPr>
        <w:t>3</w:t>
      </w:r>
    </w:p>
    <w:p w14:paraId="24C99AFA" w14:textId="082E2E5C" w:rsidR="008F4742" w:rsidRPr="008F4742" w:rsidRDefault="008F4742" w:rsidP="008F4742">
      <w:pPr>
        <w:rPr>
          <w:b/>
          <w:bCs/>
        </w:rPr>
      </w:pPr>
      <w:r w:rsidRPr="008F4742">
        <w:rPr>
          <w:b/>
          <w:bCs/>
        </w:rPr>
        <w:t>Care sunt categoriile de risc?</w:t>
      </w:r>
    </w:p>
    <w:p w14:paraId="654B2D01" w14:textId="77777777" w:rsidR="008F4742" w:rsidRPr="008F4742" w:rsidRDefault="008F4742" w:rsidP="008F4742">
      <w:r w:rsidRPr="008F4742">
        <w:t>Regulamentul privind IA introduce un cadru uniform în toate statele membre ale UE, bazat pe o definiție prospectivă a IA și pe o abordare bazată pe riscuri. </w:t>
      </w:r>
    </w:p>
    <w:p w14:paraId="100A6472" w14:textId="77777777" w:rsidR="008F4742" w:rsidRPr="008F4742" w:rsidRDefault="008F4742" w:rsidP="008F4742">
      <w:pPr>
        <w:numPr>
          <w:ilvl w:val="0"/>
          <w:numId w:val="15"/>
        </w:numPr>
      </w:pPr>
      <w:r w:rsidRPr="008F4742">
        <w:rPr>
          <w:b/>
          <w:bCs/>
          <w:u w:val="single"/>
        </w:rPr>
        <w:t>Risc inacceptabil</w:t>
      </w:r>
      <w:r w:rsidRPr="008F4742">
        <w:rPr>
          <w:u w:val="single"/>
        </w:rPr>
        <w:t>:</w:t>
      </w:r>
      <w:r w:rsidRPr="008F4742">
        <w:t> un set foarte limitat de utilizări deosebit de dăunătoare ale IA care contravin valorilor UE deoarece încalcă drepturile fundamentale și, prin urmare, vor fi interzise. Acestea sunt:</w:t>
      </w:r>
    </w:p>
    <w:p w14:paraId="79BC1E29" w14:textId="77777777" w:rsidR="008F4742" w:rsidRPr="008F4742" w:rsidRDefault="008F4742" w:rsidP="008F4742">
      <w:pPr>
        <w:numPr>
          <w:ilvl w:val="0"/>
          <w:numId w:val="16"/>
        </w:numPr>
      </w:pPr>
    </w:p>
    <w:p w14:paraId="40DE064D" w14:textId="77777777" w:rsidR="008F4742" w:rsidRPr="008F4742" w:rsidRDefault="008F4742" w:rsidP="008F4742">
      <w:pPr>
        <w:numPr>
          <w:ilvl w:val="1"/>
          <w:numId w:val="16"/>
        </w:numPr>
      </w:pPr>
      <w:r w:rsidRPr="008F4742">
        <w:rPr>
          <w:b/>
          <w:bCs/>
        </w:rPr>
        <w:t>exploatarea vulnerabilităților persoanelor, manipularea și utilizarea tehnicilor subliminale;</w:t>
      </w:r>
      <w:r w:rsidRPr="008F4742">
        <w:t> </w:t>
      </w:r>
    </w:p>
    <w:p w14:paraId="20A4981C" w14:textId="77777777" w:rsidR="008F4742" w:rsidRPr="008F4742" w:rsidRDefault="008F4742" w:rsidP="008F4742">
      <w:pPr>
        <w:numPr>
          <w:ilvl w:val="1"/>
          <w:numId w:val="16"/>
        </w:numPr>
      </w:pPr>
      <w:r w:rsidRPr="008F4742">
        <w:rPr>
          <w:b/>
          <w:bCs/>
        </w:rPr>
        <w:t>atribuirea unui punctaj social</w:t>
      </w:r>
      <w:r w:rsidRPr="008F4742">
        <w:t> în scopuri publice și private; </w:t>
      </w:r>
    </w:p>
    <w:p w14:paraId="656C1F5E" w14:textId="77777777" w:rsidR="008F4742" w:rsidRPr="008F4742" w:rsidRDefault="008F4742" w:rsidP="008F4742">
      <w:pPr>
        <w:numPr>
          <w:ilvl w:val="1"/>
          <w:numId w:val="16"/>
        </w:numPr>
      </w:pPr>
      <w:r w:rsidRPr="008F4742">
        <w:rPr>
          <w:b/>
          <w:bCs/>
        </w:rPr>
        <w:t>activități polițienești individuale bazate pe analiza predictivă</w:t>
      </w:r>
      <w:r w:rsidRPr="008F4742">
        <w:t> care utilizează exclusiv crearea de profiluri ale persoanelor; </w:t>
      </w:r>
    </w:p>
    <w:p w14:paraId="7FFC5800" w14:textId="77777777" w:rsidR="008F4742" w:rsidRPr="008F4742" w:rsidRDefault="008F4742" w:rsidP="008F4742">
      <w:pPr>
        <w:numPr>
          <w:ilvl w:val="1"/>
          <w:numId w:val="16"/>
        </w:numPr>
      </w:pPr>
      <w:r w:rsidRPr="008F4742">
        <w:rPr>
          <w:b/>
          <w:bCs/>
        </w:rPr>
        <w:t>extragerea neselectivă</w:t>
      </w:r>
      <w:r w:rsidRPr="008F4742">
        <w:t> de imagini faciale de pe internet sau din TVCI pentru crearea sau extinderea bazelor de date; </w:t>
      </w:r>
    </w:p>
    <w:p w14:paraId="0EC8E5B3" w14:textId="77777777" w:rsidR="008F4742" w:rsidRPr="008F4742" w:rsidRDefault="008F4742" w:rsidP="008F4742">
      <w:pPr>
        <w:numPr>
          <w:ilvl w:val="1"/>
          <w:numId w:val="16"/>
        </w:numPr>
      </w:pPr>
      <w:r w:rsidRPr="008F4742">
        <w:rPr>
          <w:b/>
          <w:bCs/>
        </w:rPr>
        <w:t>recunoașterea emoțiilor la locul de muncă și în instituțiile de învățământ</w:t>
      </w:r>
      <w:r w:rsidRPr="008F4742">
        <w:t>, cu excepția motivelor medicale sau de siguranță (de exemplu, monitorizarea nivelului de oboseală la piloți); </w:t>
      </w:r>
    </w:p>
    <w:p w14:paraId="4C20B481" w14:textId="77777777" w:rsidR="008F4742" w:rsidRPr="008F4742" w:rsidRDefault="008F4742" w:rsidP="008F4742">
      <w:pPr>
        <w:numPr>
          <w:ilvl w:val="1"/>
          <w:numId w:val="16"/>
        </w:numPr>
      </w:pPr>
      <w:r w:rsidRPr="008F4742">
        <w:rPr>
          <w:b/>
          <w:bCs/>
        </w:rPr>
        <w:lastRenderedPageBreak/>
        <w:t>clasificarea biometrică</w:t>
      </w:r>
      <w:r w:rsidRPr="008F4742">
        <w:t> a persoanelor fizice pentru a deduce sau a presupune rasa, opiniile politice, apartenența la un sindicat, convingerile religioase ori filozofice sau orientarea sexuală. Etichetarea sau filtrarea seturilor de date și clasificarea datelor în domeniul asigurării respectării legii vor fi în continuare posibile; </w:t>
      </w:r>
    </w:p>
    <w:p w14:paraId="1DB9A6B6" w14:textId="77777777" w:rsidR="008F4742" w:rsidRPr="008F4742" w:rsidRDefault="008F4742" w:rsidP="008F4742">
      <w:pPr>
        <w:numPr>
          <w:ilvl w:val="1"/>
          <w:numId w:val="16"/>
        </w:numPr>
      </w:pPr>
      <w:r w:rsidRPr="008F4742">
        <w:rPr>
          <w:b/>
          <w:bCs/>
        </w:rPr>
        <w:t>identificarea biometrică la distanță în timp real în spații accesibile publicului de către autoritățile de aplicare a legii</w:t>
      </w:r>
      <w:r w:rsidRPr="008F4742">
        <w:t>, sub rezerva unor excepții restrânse (a se vedea mai jos).</w:t>
      </w:r>
    </w:p>
    <w:p w14:paraId="763D5288" w14:textId="77777777" w:rsidR="008F4742" w:rsidRPr="008F4742" w:rsidRDefault="008F4742" w:rsidP="008F4742">
      <w:pPr>
        <w:numPr>
          <w:ilvl w:val="0"/>
          <w:numId w:val="17"/>
        </w:numPr>
      </w:pPr>
      <w:r w:rsidRPr="008F4742">
        <w:t>Comisia va emite orientări privind interdicțiile înainte de intrarea lor în vigoare la 2 februarie 2025.</w:t>
      </w:r>
    </w:p>
    <w:p w14:paraId="29941103" w14:textId="77777777" w:rsidR="008F4742" w:rsidRPr="008F4742" w:rsidRDefault="008F4742" w:rsidP="008F4742">
      <w:pPr>
        <w:numPr>
          <w:ilvl w:val="0"/>
          <w:numId w:val="17"/>
        </w:numPr>
      </w:pPr>
      <w:r w:rsidRPr="008F4742">
        <w:rPr>
          <w:b/>
          <w:bCs/>
          <w:u w:val="single"/>
        </w:rPr>
        <w:t>Risc ridicat</w:t>
      </w:r>
      <w:r w:rsidRPr="008F4742">
        <w:rPr>
          <w:u w:val="single"/>
        </w:rPr>
        <w:t>:</w:t>
      </w:r>
      <w:r w:rsidRPr="008F4742">
        <w:t> un număr limitat de sisteme de IA definite în propunere, care au potențialul de a impacta negativ siguranța cetățenilor sau drepturile lor fundamentale (astfel cum sunt protejate de Carta drepturilor fundamentale a UE) sunt considerate ca prezentând un grad ridicat de risc. În anexa la regulament sunt prevăzute listele sistemelor de IA care prezintă un grad ridicat de risc. Lista menționată poate fi reexaminată în vederea alinierii la evoluția cazurilor de utilizare a IA.</w:t>
      </w:r>
    </w:p>
    <w:p w14:paraId="305D5F41" w14:textId="77777777" w:rsidR="008F4742" w:rsidRPr="008F4742" w:rsidRDefault="008F4742" w:rsidP="008F4742">
      <w:pPr>
        <w:numPr>
          <w:ilvl w:val="0"/>
          <w:numId w:val="17"/>
        </w:numPr>
      </w:pPr>
      <w:r w:rsidRPr="008F4742">
        <w:t>Printre acestea se numără și componentele de siguranță ale produselor reglementate de legislația sectorială a Uniunii. Respectivele componente vor fi considerate întotdeauna ca prezentând un grad ridicat de risc atunci când vor face obiectul unei evaluări a conformității de către un terț în temeiul legislației sectoriale.</w:t>
      </w:r>
    </w:p>
    <w:p w14:paraId="091C1F2D" w14:textId="77777777" w:rsidR="008F4742" w:rsidRPr="008F4742" w:rsidRDefault="008F4742" w:rsidP="008F4742">
      <w:pPr>
        <w:numPr>
          <w:ilvl w:val="0"/>
          <w:numId w:val="17"/>
        </w:numPr>
      </w:pPr>
      <w:r w:rsidRPr="008F4742">
        <w:t>Astfel de sisteme de IA cu grad ridicat de risc includ, de exemplu, sistemele de IA care evaluează dacă o persoană este în măsură să primească un anumit tratament medical, să obțină un anumit loc de muncă sau un anumit împrumut pentru a cumpăra un apartament.  Alte sisteme de IA cu grad ridicat de risc sunt cele utilizate de poliție pentru crearea de profiluri ale persoanelor sau pentru evaluarea riscului acestora de a comite o infracțiune (cu excepția cazului în care acest lucru este interzis în temeiul articolului 5). De asemenea, ar putea prezenta un grad ridicat de risc sistemele de IA care operează roboți, drone sau dispozitive medicale.</w:t>
      </w:r>
    </w:p>
    <w:p w14:paraId="16E4BDAB" w14:textId="77777777" w:rsidR="008F4742" w:rsidRPr="008F4742" w:rsidRDefault="008F4742" w:rsidP="008F4742">
      <w:pPr>
        <w:numPr>
          <w:ilvl w:val="0"/>
          <w:numId w:val="18"/>
        </w:numPr>
      </w:pPr>
      <w:r w:rsidRPr="008F4742">
        <w:rPr>
          <w:b/>
          <w:bCs/>
          <w:u w:val="single"/>
        </w:rPr>
        <w:t>Risc specific în materie de transparență:</w:t>
      </w:r>
      <w:r w:rsidRPr="008F4742">
        <w:t> Pentru a promova încrederea, este important să se asigure transparența în ceea ce privește utilizarea IA. Prin urmare, Regulamentul privind IA introduce cerințe specifice în materie de transparență pentru anumite sisteme de IA, de exemplu în cazul în care există un risc clar de manipulare (mai precis, utilizarea unor roboți de chat) sau de </w:t>
      </w:r>
      <w:r w:rsidRPr="008F4742">
        <w:rPr>
          <w:i/>
          <w:iCs/>
        </w:rPr>
        <w:t>deepfake</w:t>
      </w:r>
      <w:r w:rsidRPr="008F4742">
        <w:t>. Utilizatorii ar trebui să fie conștienți de faptul că nu interacționează cu o persoană. </w:t>
      </w:r>
    </w:p>
    <w:p w14:paraId="604D0510" w14:textId="77777777" w:rsidR="008F4742" w:rsidRPr="008F4742" w:rsidRDefault="008F4742" w:rsidP="008F4742">
      <w:pPr>
        <w:numPr>
          <w:ilvl w:val="0"/>
          <w:numId w:val="19"/>
        </w:numPr>
      </w:pPr>
      <w:r w:rsidRPr="008F4742">
        <w:rPr>
          <w:b/>
          <w:bCs/>
          <w:u w:val="single"/>
        </w:rPr>
        <w:t>Risc minim</w:t>
      </w:r>
      <w:r w:rsidRPr="008F4742">
        <w:t>: Majoritatea sistemelor de IA pot fi dezvoltate și utilizate cu condiția respectării legislației existente, fără să se aplice obligații legale suplimentare. Furnizorii acestor sisteme pot să aleagă din proprie inițiativă să aplice cerințele privind o IA de încredere și să adere la coduri de conduită voluntare.</w:t>
      </w:r>
    </w:p>
    <w:p w14:paraId="05C81CA5" w14:textId="77777777" w:rsidR="008F4742" w:rsidRPr="008F4742" w:rsidRDefault="008F4742" w:rsidP="008F4742">
      <w:r w:rsidRPr="008F4742">
        <w:t>În plus, Regulamentul privind IA ține cont de </w:t>
      </w:r>
      <w:r w:rsidRPr="008F4742">
        <w:rPr>
          <w:b/>
          <w:bCs/>
          <w:u w:val="single"/>
        </w:rPr>
        <w:t>riscurile sistemice</w:t>
      </w:r>
      <w:r w:rsidRPr="008F4742">
        <w:t> care ar putea decurge din </w:t>
      </w:r>
      <w:r w:rsidRPr="008F4742">
        <w:rPr>
          <w:b/>
          <w:bCs/>
        </w:rPr>
        <w:t>modelele de IA de uz general</w:t>
      </w:r>
      <w:r w:rsidRPr="008F4742">
        <w:t>, inclusiv din </w:t>
      </w:r>
      <w:r w:rsidRPr="008F4742">
        <w:rPr>
          <w:b/>
          <w:bCs/>
        </w:rPr>
        <w:t>modelele de IA generative de mari dimensiuni</w:t>
      </w:r>
      <w:r w:rsidRPr="008F4742">
        <w:t>. Acestea pot fi utilizate pentru o varietate de sarcini și devin baza pentru multe sisteme de IA din UE. Unele dintre aceste modele ar putea prezenta riscuri sistemice dacă sunt foarte capabile sau dacă sunt utilizate pe scară largă. De exemplu, modelele puternice ar putea cauza accidente grave sau ar putea fi utilizate în mod abuziv pentru atacuri cibernetice de amploare. Un număr mare de persoane ar putea fi afectate dacă un model ar răspândi prejudecăți dăunătoare în mai multe aplicații.  </w:t>
      </w:r>
      <w:r w:rsidRPr="008F4742">
        <w:rPr>
          <w:b/>
          <w:bCs/>
        </w:rPr>
        <w:t> </w:t>
      </w:r>
    </w:p>
    <w:p w14:paraId="66190481" w14:textId="77777777" w:rsidR="008F4742" w:rsidRDefault="008F4742" w:rsidP="008F4742">
      <w:pPr>
        <w:rPr>
          <w:b/>
          <w:bCs/>
        </w:rPr>
      </w:pPr>
      <w:r>
        <w:rPr>
          <w:b/>
          <w:bCs/>
        </w:rPr>
        <w:t xml:space="preserve">@@@Question </w:t>
      </w:r>
      <w:r>
        <w:rPr>
          <w:b/>
          <w:bCs/>
        </w:rPr>
        <w:t>4</w:t>
      </w:r>
    </w:p>
    <w:p w14:paraId="68FF93A5" w14:textId="233C947B" w:rsidR="008F4742" w:rsidRPr="008F4742" w:rsidRDefault="008F4742" w:rsidP="008F4742">
      <w:pPr>
        <w:rPr>
          <w:b/>
          <w:bCs/>
        </w:rPr>
      </w:pPr>
      <w:r w:rsidRPr="008F4742">
        <w:rPr>
          <w:b/>
          <w:bCs/>
        </w:rPr>
        <w:t>Cum știu dacă un sistem de IA prezintă un grad ridicat de risc?</w:t>
      </w:r>
    </w:p>
    <w:p w14:paraId="2FD01981" w14:textId="77777777" w:rsidR="008F4742" w:rsidRPr="008F4742" w:rsidRDefault="008F4742" w:rsidP="008F4742">
      <w:r w:rsidRPr="008F4742">
        <w:t>Regulamentul privind IA stabilește o metodologie solidă pentru clasificarea sistemelor de IA ca având un grad ridicat de risc. Scopul este de a asigura securitatea juridică pentru întreprinderi și alți operatori.</w:t>
      </w:r>
    </w:p>
    <w:p w14:paraId="5D6F274E" w14:textId="77777777" w:rsidR="008F4742" w:rsidRPr="008F4742" w:rsidRDefault="008F4742" w:rsidP="008F4742">
      <w:r w:rsidRPr="008F4742">
        <w:t>Clasificarea riscurilor se bazează pe scopul preconizat al sistemului de IA, în conformitate cu legislația existentă a UE privind siguranța produselor. Prin urmare, clasificarea depinde de funcția îndeplinită de sistemul de IA, de scopul și de modalitățile specifice în care este utilizat sistemul respectiv.</w:t>
      </w:r>
    </w:p>
    <w:p w14:paraId="0C43B315" w14:textId="77777777" w:rsidR="008F4742" w:rsidRPr="008F4742" w:rsidRDefault="008F4742" w:rsidP="008F4742">
      <w:r w:rsidRPr="008F4742">
        <w:t>Sistemele de IA pot fi clasificate ca prezentând un grad ridicat de risc în două cazuri: </w:t>
      </w:r>
    </w:p>
    <w:p w14:paraId="1C39D4A5" w14:textId="77777777" w:rsidR="008F4742" w:rsidRPr="008F4742" w:rsidRDefault="008F4742" w:rsidP="008F4742">
      <w:pPr>
        <w:numPr>
          <w:ilvl w:val="0"/>
          <w:numId w:val="20"/>
        </w:numPr>
      </w:pPr>
      <w:r w:rsidRPr="008F4742">
        <w:lastRenderedPageBreak/>
        <w:t>dacă sistemul de IA este încorporat ca o componentă de siguranță în produsele reglementate de legislația existentă privind produsele (anexa I) sau constituie în sine un astfel de produs. Acesta ar putea fi, de exemplu, software-ul medical bazat pe IA. </w:t>
      </w:r>
    </w:p>
    <w:p w14:paraId="719F7144" w14:textId="77777777" w:rsidR="008F4742" w:rsidRPr="008F4742" w:rsidRDefault="008F4742" w:rsidP="008F4742">
      <w:pPr>
        <w:numPr>
          <w:ilvl w:val="0"/>
          <w:numId w:val="21"/>
        </w:numPr>
      </w:pPr>
      <w:r w:rsidRPr="008F4742">
        <w:t>dacă sistemul de IA este destinat a fi utilizat pentru un caz de utilizare cu grad ridicat de risc care figurează în anexa III la Regulamentul privind IA. Lista include cazuri de utilizare din domenii precum educația, ocuparea forței de muncă, aplicarea legii sau migrația. </w:t>
      </w:r>
    </w:p>
    <w:p w14:paraId="0CC927CE" w14:textId="77777777" w:rsidR="008F4742" w:rsidRPr="008F4742" w:rsidRDefault="008F4742" w:rsidP="008F4742">
      <w:r w:rsidRPr="008F4742">
        <w:t>Comisia pregătește orientări pentru clasificarea cu grad ridicat de risc, care vor fi publicate înainte de data de aplicare a acestor norme. </w:t>
      </w:r>
      <w:r w:rsidRPr="008F4742">
        <w:rPr>
          <w:b/>
          <w:bCs/>
        </w:rPr>
        <w:t> </w:t>
      </w:r>
    </w:p>
    <w:p w14:paraId="0E14FE13" w14:textId="77777777" w:rsidR="008F4742" w:rsidRDefault="008F4742" w:rsidP="008F4742">
      <w:pPr>
        <w:rPr>
          <w:b/>
          <w:bCs/>
        </w:rPr>
      </w:pPr>
      <w:r>
        <w:rPr>
          <w:b/>
          <w:bCs/>
        </w:rPr>
        <w:t xml:space="preserve">@@@Question </w:t>
      </w:r>
      <w:r>
        <w:rPr>
          <w:b/>
          <w:bCs/>
        </w:rPr>
        <w:t>5</w:t>
      </w:r>
    </w:p>
    <w:p w14:paraId="1C08C51B" w14:textId="2D576D9D" w:rsidR="008F4742" w:rsidRPr="008F4742" w:rsidRDefault="008F4742" w:rsidP="008F4742">
      <w:pPr>
        <w:rPr>
          <w:b/>
          <w:bCs/>
        </w:rPr>
      </w:pPr>
      <w:r w:rsidRPr="008F4742">
        <w:rPr>
          <w:b/>
          <w:bCs/>
        </w:rPr>
        <w:t>Exemple de cazuri de utilizare cu grad ridicat de risc, astfel cum sunt definite în anexa III</w:t>
      </w:r>
    </w:p>
    <w:p w14:paraId="177E6A4A" w14:textId="77777777" w:rsidR="008F4742" w:rsidRPr="008F4742" w:rsidRDefault="008F4742" w:rsidP="008F4742">
      <w:r w:rsidRPr="008F4742">
        <w:t>Anexa III cuprinde opt domenii în care utilizarea IA poate fi deosebit de sensibilă și enumeră cazuri concrete de utilizare pentru fiecare domeniu. Un sistem de IA se clasifică ca prezentând un grad ridicat de risc dacă este destinat a fi utilizat pentru unul dintre aceste cazuri de utilizare.</w:t>
      </w:r>
    </w:p>
    <w:p w14:paraId="67C04550" w14:textId="77777777" w:rsidR="008F4742" w:rsidRPr="008F4742" w:rsidRDefault="008F4742" w:rsidP="008F4742">
      <w:r w:rsidRPr="008F4742">
        <w:t>Printre exemple se numără:</w:t>
      </w:r>
    </w:p>
    <w:p w14:paraId="56300340" w14:textId="77777777" w:rsidR="008F4742" w:rsidRPr="008F4742" w:rsidRDefault="008F4742" w:rsidP="008F4742">
      <w:pPr>
        <w:numPr>
          <w:ilvl w:val="0"/>
          <w:numId w:val="22"/>
        </w:numPr>
      </w:pPr>
      <w:r w:rsidRPr="008F4742">
        <w:t>sistemele de IA utilizate drept componente de siguranță în cadrul anumitor </w:t>
      </w:r>
      <w:r w:rsidRPr="008F4742">
        <w:rPr>
          <w:b/>
          <w:bCs/>
        </w:rPr>
        <w:t>infrastructuri critice</w:t>
      </w:r>
      <w:r w:rsidRPr="008F4742">
        <w:t>, de exemplu în domeniul traficului rutier sau al aprovizionării cu apă, gaz, încălzire ori energie electrică;</w:t>
      </w:r>
    </w:p>
    <w:p w14:paraId="0AF98B64" w14:textId="77777777" w:rsidR="008F4742" w:rsidRPr="008F4742" w:rsidRDefault="008F4742" w:rsidP="008F4742">
      <w:pPr>
        <w:numPr>
          <w:ilvl w:val="0"/>
          <w:numId w:val="22"/>
        </w:numPr>
      </w:pPr>
      <w:r w:rsidRPr="008F4742">
        <w:rPr>
          <w:b/>
          <w:bCs/>
        </w:rPr>
        <w:t>sistemele de IA utilizate în domeniul educației și al formării profesionale</w:t>
      </w:r>
      <w:r w:rsidRPr="008F4742">
        <w:t>, de exemplu, pentru a evalua rezultatele învățării și pentru a orienta procesul de învățare și monitorizarea comportamentelor necinstite;</w:t>
      </w:r>
    </w:p>
    <w:p w14:paraId="22652657" w14:textId="77777777" w:rsidR="008F4742" w:rsidRPr="008F4742" w:rsidRDefault="008F4742" w:rsidP="008F4742">
      <w:pPr>
        <w:numPr>
          <w:ilvl w:val="0"/>
          <w:numId w:val="22"/>
        </w:numPr>
      </w:pPr>
      <w:r w:rsidRPr="008F4742">
        <w:rPr>
          <w:b/>
          <w:bCs/>
        </w:rPr>
        <w:t>sistemele de IA utilizate în domeniul ocupării forței de muncă și al gestionării lucrătorilor</w:t>
      </w:r>
      <w:r w:rsidRPr="008F4742">
        <w:t> și accesul la activități independente, de exemplu, pentru a publica anunțuri de angajare specifice, pentru a analiza și a filtra candidaturile de ocupare a unor posturi și pentru a evalua candidații;</w:t>
      </w:r>
    </w:p>
    <w:p w14:paraId="1D7C9520" w14:textId="77777777" w:rsidR="008F4742" w:rsidRPr="008F4742" w:rsidRDefault="008F4742" w:rsidP="008F4742">
      <w:pPr>
        <w:numPr>
          <w:ilvl w:val="0"/>
          <w:numId w:val="22"/>
        </w:numPr>
      </w:pPr>
      <w:r w:rsidRPr="008F4742">
        <w:rPr>
          <w:b/>
          <w:bCs/>
        </w:rPr>
        <w:t>sistemele de IA utilizate în domeniul accesului la servicii și beneficii publice și private esențiale</w:t>
      </w:r>
      <w:r w:rsidRPr="008F4742">
        <w:t> (de exemplu, asistență medicală), </w:t>
      </w:r>
      <w:r w:rsidRPr="008F4742">
        <w:rPr>
          <w:b/>
          <w:bCs/>
        </w:rPr>
        <w:t>al evaluării bonității</w:t>
      </w:r>
      <w:r w:rsidRPr="008F4742">
        <w:t> persoanelor fizice, precum și al evaluării riscurilor și stabilirii prețurilor în ceea ce privește </w:t>
      </w:r>
      <w:r w:rsidRPr="008F4742">
        <w:rPr>
          <w:b/>
          <w:bCs/>
        </w:rPr>
        <w:t>asigurările de viață și de sănătate</w:t>
      </w:r>
      <w:r w:rsidRPr="008F4742">
        <w:t>;</w:t>
      </w:r>
    </w:p>
    <w:p w14:paraId="4F71A4F8" w14:textId="77777777" w:rsidR="008F4742" w:rsidRPr="008F4742" w:rsidRDefault="008F4742" w:rsidP="008F4742">
      <w:pPr>
        <w:numPr>
          <w:ilvl w:val="0"/>
          <w:numId w:val="22"/>
        </w:numPr>
      </w:pPr>
      <w:r w:rsidRPr="008F4742">
        <w:t>sistemele de IA utilizate în domeniul </w:t>
      </w:r>
      <w:r w:rsidRPr="008F4742">
        <w:rPr>
          <w:b/>
          <w:bCs/>
        </w:rPr>
        <w:t>asigurării respectării legii</w:t>
      </w:r>
      <w:r w:rsidRPr="008F4742">
        <w:t>, al migrației și al </w:t>
      </w:r>
      <w:r w:rsidRPr="008F4742">
        <w:rPr>
          <w:b/>
          <w:bCs/>
        </w:rPr>
        <w:t>controlului la frontiere</w:t>
      </w:r>
      <w:r w:rsidRPr="008F4742">
        <w:t>, în măsura în care acestea nu sunt deja interzise, precum și în administrarea </w:t>
      </w:r>
      <w:r w:rsidRPr="008F4742">
        <w:rPr>
          <w:b/>
          <w:bCs/>
        </w:rPr>
        <w:t>justiției</w:t>
      </w:r>
      <w:r w:rsidRPr="008F4742">
        <w:t> și a </w:t>
      </w:r>
      <w:r w:rsidRPr="008F4742">
        <w:rPr>
          <w:b/>
          <w:bCs/>
        </w:rPr>
        <w:t>proceselor democratice</w:t>
      </w:r>
      <w:r w:rsidRPr="008F4742">
        <w:t>;</w:t>
      </w:r>
    </w:p>
    <w:p w14:paraId="55D2AEB6" w14:textId="77777777" w:rsidR="008F4742" w:rsidRPr="008F4742" w:rsidRDefault="008F4742" w:rsidP="008F4742">
      <w:pPr>
        <w:numPr>
          <w:ilvl w:val="0"/>
          <w:numId w:val="22"/>
        </w:numPr>
      </w:pPr>
      <w:r w:rsidRPr="008F4742">
        <w:t>sistemele de IA utilizate pentru </w:t>
      </w:r>
      <w:r w:rsidRPr="008F4742">
        <w:rPr>
          <w:b/>
          <w:bCs/>
        </w:rPr>
        <w:t>identificarea biometrică, clasificarea biometrică și recunoașterea emoțiilor,</w:t>
      </w:r>
      <w:r w:rsidRPr="008F4742">
        <w:t> în măsura în care nu sunt interzise.</w:t>
      </w:r>
    </w:p>
    <w:p w14:paraId="5AE66C24" w14:textId="77777777" w:rsidR="008F4742" w:rsidRDefault="008F4742" w:rsidP="008F4742">
      <w:pPr>
        <w:rPr>
          <w:b/>
          <w:bCs/>
        </w:rPr>
      </w:pPr>
      <w:r>
        <w:rPr>
          <w:b/>
          <w:bCs/>
        </w:rPr>
        <w:t xml:space="preserve">@@@Question </w:t>
      </w:r>
      <w:r>
        <w:rPr>
          <w:b/>
          <w:bCs/>
        </w:rPr>
        <w:t>6</w:t>
      </w:r>
    </w:p>
    <w:p w14:paraId="0E85562F" w14:textId="2F2C8B3D" w:rsidR="008F4742" w:rsidRPr="008F4742" w:rsidRDefault="008F4742" w:rsidP="008F4742">
      <w:pPr>
        <w:rPr>
          <w:b/>
          <w:bCs/>
        </w:rPr>
      </w:pPr>
      <w:r w:rsidRPr="008F4742">
        <w:rPr>
          <w:b/>
          <w:bCs/>
        </w:rPr>
        <w:t>Ce obligații au furnizorii de sisteme de IA care prezintă un grad ridicat de risc?</w:t>
      </w:r>
    </w:p>
    <w:p w14:paraId="2C48094A" w14:textId="77777777" w:rsidR="008F4742" w:rsidRPr="008F4742" w:rsidRDefault="008F4742" w:rsidP="008F4742">
      <w:r w:rsidRPr="008F4742">
        <w:t>Înainte de </w:t>
      </w:r>
      <w:r w:rsidRPr="008F4742">
        <w:rPr>
          <w:b/>
          <w:bCs/>
        </w:rPr>
        <w:t>a introduce pe piața UE un sistem de IA care prezintă un grad ridicat de risc</w:t>
      </w:r>
      <w:r w:rsidRPr="008F4742">
        <w:t> sau înainte de a-l pune în funcțiune în alt mod, furnizorii trebuie supună sistemul respectiv unei </w:t>
      </w:r>
      <w:r w:rsidRPr="008F4742">
        <w:rPr>
          <w:b/>
          <w:bCs/>
        </w:rPr>
        <w:t>evaluări a conformității</w:t>
      </w:r>
      <w:r w:rsidRPr="008F4742">
        <w:t>. Astfel, furnizorii vor putea să demonstreze că sistemul lor respectă cerințele obligatorii pentru o IA de încredere (de exemplu, calitatea datelor, documentația și trasabilitatea, transparența, supravegherea umană, precizia, securitatea cibernetică și robustețea). Această evaluare trebuie repetată în cazul în care sistemul sau scopul acestuia sunt modificate substanțial.</w:t>
      </w:r>
    </w:p>
    <w:p w14:paraId="629928E8" w14:textId="77777777" w:rsidR="008F4742" w:rsidRPr="008F4742" w:rsidRDefault="008F4742" w:rsidP="008F4742">
      <w:r w:rsidRPr="008F4742">
        <w:t>Sistemele de IA care servesc drept componente de siguranță ale produselor reglementate de legislația sectorială a Uniunii vor fi considerate întotdeauna ca prezentând un grad ridicat de risc atunci când vor face obiectul unei evaluări a conformității de către un terț în temeiul legislației sectoriale. În plus, toate sistemele biometrice, indiferent de aplicarea lor, vor necesita o evaluare a conformității de către un terț.</w:t>
      </w:r>
    </w:p>
    <w:p w14:paraId="28C341FF" w14:textId="77777777" w:rsidR="008F4742" w:rsidRPr="008F4742" w:rsidRDefault="008F4742" w:rsidP="008F4742">
      <w:r w:rsidRPr="008F4742">
        <w:lastRenderedPageBreak/>
        <w:t>Furnizorii de sisteme de IA care prezintă un grad ridicat de risc vor trebui, de asemenea, </w:t>
      </w:r>
      <w:r w:rsidRPr="008F4742">
        <w:rPr>
          <w:b/>
          <w:bCs/>
        </w:rPr>
        <w:t>să pună în aplicare sisteme de gestionare a calității și a riscurilor</w:t>
      </w:r>
      <w:r w:rsidRPr="008F4742">
        <w:t>, în vederea asigurării conformității acestora cu noile cerințe și a reducerii la minimum a riscurilor pentru utilizatori și persoanele afectate, chiar și după ce un produs a fost introdus pe piață.</w:t>
      </w:r>
    </w:p>
    <w:p w14:paraId="65C794D3" w14:textId="77777777" w:rsidR="008F4742" w:rsidRPr="008F4742" w:rsidRDefault="008F4742" w:rsidP="008F4742">
      <w:r w:rsidRPr="008F4742">
        <w:t>Sistemele de IA cu grad ridicat de risc care sunt implementate de autoritățile publice sau de entitățile care acționează în numele acestora vor trebui să fie </w:t>
      </w:r>
      <w:r w:rsidRPr="008F4742">
        <w:rPr>
          <w:b/>
          <w:bCs/>
        </w:rPr>
        <w:t>înregistrate într-o bază de date publică a UE</w:t>
      </w:r>
      <w:r w:rsidRPr="008F4742">
        <w:t>, cu excepția cazului în care sistemele respective sunt utilizate pentru asigurarea respectării legii și migrație. Aceasta din urmă vor trebui să fie înregistrate într-o parte care nu este publică a bazei de date, accesibilă numai autorităților de supraveghere relevante.</w:t>
      </w:r>
    </w:p>
    <w:p w14:paraId="34A53D8B" w14:textId="77777777" w:rsidR="008F4742" w:rsidRPr="008F4742" w:rsidRDefault="008F4742" w:rsidP="008F4742">
      <w:r w:rsidRPr="008F4742">
        <w:t>Pentru a asigura conformitatea pe parcursul întregului ciclu de viață al sistemului de IA, autoritățile de supraveghere a pieței vor efectua audituri periodice și vor facilita monitorizarea ulterioară introducerii pe piață și le vor permite furnizorilor să raporteze în mod voluntar orice incidente grave sau încălcări ale obligațiilor în materie de drepturi fundamentale care le sunt aduse la cunoștință.  În cazuri excepționale, autoritățile pot acorda derogări pentru anumite sisteme de IA cu grad ridicat de risc care urmează să fie introduse pe piață.</w:t>
      </w:r>
    </w:p>
    <w:p w14:paraId="4236BDA3" w14:textId="77777777" w:rsidR="008F4742" w:rsidRPr="008F4742" w:rsidRDefault="008F4742" w:rsidP="008F4742">
      <w:r w:rsidRPr="008F4742">
        <w:t>Datorită acestor cerințe, autoritățile naționale vor putea, în cazul unei încălcări, să aibă acces la informațiile necesare pentru a investiga dacă utilizarea sistemelor de IA a respectat prevederile legale.</w:t>
      </w:r>
      <w:r w:rsidRPr="008F4742">
        <w:rPr>
          <w:b/>
          <w:bCs/>
        </w:rPr>
        <w:t> </w:t>
      </w:r>
    </w:p>
    <w:p w14:paraId="1CA8E00F" w14:textId="77777777" w:rsidR="008F4742" w:rsidRDefault="008F4742" w:rsidP="008F4742">
      <w:pPr>
        <w:rPr>
          <w:b/>
          <w:bCs/>
        </w:rPr>
      </w:pPr>
      <w:r>
        <w:rPr>
          <w:b/>
          <w:bCs/>
        </w:rPr>
        <w:t xml:space="preserve">@@@Question </w:t>
      </w:r>
      <w:r>
        <w:rPr>
          <w:b/>
          <w:bCs/>
        </w:rPr>
        <w:t>7</w:t>
      </w:r>
    </w:p>
    <w:p w14:paraId="4915DC46" w14:textId="5F6E11AC" w:rsidR="008F4742" w:rsidRPr="008F4742" w:rsidRDefault="008F4742" w:rsidP="008F4742">
      <w:pPr>
        <w:rPr>
          <w:b/>
          <w:bCs/>
        </w:rPr>
      </w:pPr>
      <w:r w:rsidRPr="008F4742">
        <w:rPr>
          <w:b/>
          <w:bCs/>
        </w:rPr>
        <w:t>Care ar fi rolul standardizării în Regulamentul privind IA?</w:t>
      </w:r>
    </w:p>
    <w:p w14:paraId="66B03CE6" w14:textId="77777777" w:rsidR="008F4742" w:rsidRPr="008F4742" w:rsidRDefault="008F4742" w:rsidP="008F4742">
      <w:r w:rsidRPr="008F4742">
        <w:t>În temeiul Regulamentului privind IA, sistemele de IA cu grad ridicat de risc vor face obiectul unor cerințe specifice. Standardele europene armonizate vor juca un rol esențial în punerea în aplicare a acestor cerințe. </w:t>
      </w:r>
    </w:p>
    <w:p w14:paraId="121D2ABC" w14:textId="77777777" w:rsidR="008F4742" w:rsidRPr="008F4742" w:rsidRDefault="008F4742" w:rsidP="008F4742">
      <w:r w:rsidRPr="008F4742">
        <w:t>În mai 2023, Comisia Europeană a mandatat organizațiile europene de standardizare CEN și CENELEC să elaboreze standarde pentru aceste cerințe pentru sistemele cu grad ridicat de risc. Acest mandat va fi acum modificat pentru a se alinia la textul final al Regulamentului privind IA. </w:t>
      </w:r>
    </w:p>
    <w:p w14:paraId="03FD2659" w14:textId="77777777" w:rsidR="008F4742" w:rsidRPr="008F4742" w:rsidRDefault="008F4742" w:rsidP="008F4742">
      <w:r w:rsidRPr="008F4742">
        <w:t>Organizațiile europene de standardizare vor trebui să elaboreze și să publice standarde până la sfârșitul lunii aprilie 2025. Ulterior, Comisia va evalua și, eventual, va aproba aceste standarde, care vor fi publicate în Jurnalul Oficial al UE. Odată publicate, standardele respective vor acorda o „prezumție de conformitate” sistemelor de IA dezvoltate în conformitate cu acestea. </w:t>
      </w:r>
      <w:r w:rsidRPr="008F4742">
        <w:rPr>
          <w:b/>
          <w:bCs/>
        </w:rPr>
        <w:t> </w:t>
      </w:r>
    </w:p>
    <w:p w14:paraId="31B81532" w14:textId="77777777" w:rsidR="008F4742" w:rsidRDefault="008F4742" w:rsidP="008F4742">
      <w:pPr>
        <w:rPr>
          <w:b/>
          <w:bCs/>
        </w:rPr>
      </w:pPr>
      <w:r>
        <w:rPr>
          <w:b/>
          <w:bCs/>
        </w:rPr>
        <w:t xml:space="preserve">@@@Question </w:t>
      </w:r>
      <w:r>
        <w:rPr>
          <w:b/>
          <w:bCs/>
        </w:rPr>
        <w:t>8</w:t>
      </w:r>
    </w:p>
    <w:p w14:paraId="21B4D2B7" w14:textId="05B2A6DD" w:rsidR="008F4742" w:rsidRPr="008F4742" w:rsidRDefault="008F4742" w:rsidP="008F4742">
      <w:pPr>
        <w:rPr>
          <w:b/>
          <w:bCs/>
        </w:rPr>
      </w:pPr>
      <w:r w:rsidRPr="008F4742">
        <w:rPr>
          <w:b/>
          <w:bCs/>
        </w:rPr>
        <w:t>Cum sunt reglementate modelele de IA de uz general?</w:t>
      </w:r>
    </w:p>
    <w:p w14:paraId="31047AAB" w14:textId="77777777" w:rsidR="008F4742" w:rsidRPr="008F4742" w:rsidRDefault="008F4742" w:rsidP="008F4742">
      <w:r w:rsidRPr="008F4742">
        <w:rPr>
          <w:b/>
          <w:bCs/>
        </w:rPr>
        <w:t>Modelele de IA de uz general</w:t>
      </w:r>
      <w:r w:rsidRPr="008F4742">
        <w:t>, inclusiv </w:t>
      </w:r>
      <w:r w:rsidRPr="008F4742">
        <w:rPr>
          <w:b/>
          <w:bCs/>
        </w:rPr>
        <w:t>modelele de IA generative de mari dimensiuni</w:t>
      </w:r>
      <w:r w:rsidRPr="008F4742">
        <w:t>, pot fi utilizate pentru o varietate de sarcini. Modelele individuale pot fi integrate într-un număr mare de sisteme de IA.</w:t>
      </w:r>
    </w:p>
    <w:p w14:paraId="13E2B0D7" w14:textId="77777777" w:rsidR="008F4742" w:rsidRPr="008F4742" w:rsidRDefault="008F4742" w:rsidP="008F4742">
      <w:r w:rsidRPr="008F4742">
        <w:t>Este esențial ca un furnizor al unui sistem de IA care integrează un model de IA de uz general să dispună de toate informațiile necesare pentru a se asigura că sistemul său este sigur și respectă Regulamentul privind IA.</w:t>
      </w:r>
    </w:p>
    <w:p w14:paraId="7AA6DCDA" w14:textId="77777777" w:rsidR="008F4742" w:rsidRPr="008F4742" w:rsidRDefault="008F4742" w:rsidP="008F4742">
      <w:r w:rsidRPr="008F4742">
        <w:t>Prin urmare, Regulamentul privind IA obligă furnizorii unor astfel de modele </w:t>
      </w:r>
      <w:r w:rsidRPr="008F4742">
        <w:rPr>
          <w:b/>
          <w:bCs/>
        </w:rPr>
        <w:t>să divulge anumite informații furnizorilor de sisteme din aval</w:t>
      </w:r>
      <w:r w:rsidRPr="008F4742">
        <w:t>. O astfel de </w:t>
      </w:r>
      <w:r w:rsidRPr="008F4742">
        <w:rPr>
          <w:b/>
          <w:bCs/>
        </w:rPr>
        <w:t>transparență</w:t>
      </w:r>
      <w:r w:rsidRPr="008F4742">
        <w:t> permite o mai bună înțelegere a acestor modele.</w:t>
      </w:r>
    </w:p>
    <w:p w14:paraId="6E73929A" w14:textId="77777777" w:rsidR="008F4742" w:rsidRPr="008F4742" w:rsidRDefault="008F4742" w:rsidP="008F4742">
      <w:r w:rsidRPr="008F4742">
        <w:t>În plus, furnizorii de modele trebuie să dispună de politici pentru a se asigura că </w:t>
      </w:r>
      <w:r w:rsidRPr="008F4742">
        <w:rPr>
          <w:b/>
          <w:bCs/>
        </w:rPr>
        <w:t>respectă legislația privind drepturile de autor</w:t>
      </w:r>
      <w:r w:rsidRPr="008F4742">
        <w:t> atunci când își pregătesc modelele.</w:t>
      </w:r>
    </w:p>
    <w:p w14:paraId="62CBFE14" w14:textId="77777777" w:rsidR="008F4742" w:rsidRPr="008F4742" w:rsidRDefault="008F4742" w:rsidP="008F4742">
      <w:r w:rsidRPr="008F4742">
        <w:t>De asemenea, unele dintre aceste modele ar putea prezenta </w:t>
      </w:r>
      <w:r w:rsidRPr="008F4742">
        <w:rPr>
          <w:b/>
          <w:bCs/>
        </w:rPr>
        <w:t>riscuri sistemice</w:t>
      </w:r>
      <w:r w:rsidRPr="008F4742">
        <w:t>, deoarece sunt foarte capabile sau sunt utilizate pe scară largă.</w:t>
      </w:r>
    </w:p>
    <w:p w14:paraId="46DF20E7" w14:textId="77777777" w:rsidR="008F4742" w:rsidRPr="008F4742" w:rsidRDefault="008F4742" w:rsidP="008F4742">
      <w:r w:rsidRPr="008F4742">
        <w:t>În prezent, se consideră că modelele de IA de uz general care au fost antrenate utilizând </w:t>
      </w:r>
      <w:r w:rsidRPr="008F4742">
        <w:rPr>
          <w:b/>
          <w:bCs/>
        </w:rPr>
        <w:t>o putere totală de calcul de peste 10^25 FLOP</w:t>
      </w:r>
      <w:r w:rsidRPr="008F4742">
        <w:t> prezintă riscuri sistemice. Comisia poate actualiza sau completa acest prag în lumina progreselor tehnologice și, în plus, în cazuri specifice, poate desemna alte modele ca prezentând riscuri sistemice pe baza unor criterii suplimentare (de exemplu, numărul de utilizatori sau gradul de autonomie al modelului).</w:t>
      </w:r>
    </w:p>
    <w:p w14:paraId="78FE1D60" w14:textId="77777777" w:rsidR="008F4742" w:rsidRPr="008F4742" w:rsidRDefault="008F4742" w:rsidP="008F4742">
      <w:r w:rsidRPr="008F4742">
        <w:lastRenderedPageBreak/>
        <w:t>Furnizorii de modele cu riscuri sistemice sunt obligați </w:t>
      </w:r>
      <w:r w:rsidRPr="008F4742">
        <w:rPr>
          <w:b/>
          <w:bCs/>
        </w:rPr>
        <w:t>să evalueze și să atenueze riscurile</w:t>
      </w:r>
      <w:r w:rsidRPr="008F4742">
        <w:t>, </w:t>
      </w:r>
      <w:r w:rsidRPr="008F4742">
        <w:rPr>
          <w:b/>
          <w:bCs/>
        </w:rPr>
        <w:t>să raporteze incidentele grave</w:t>
      </w:r>
      <w:r w:rsidRPr="008F4742">
        <w:t>, </w:t>
      </w:r>
      <w:r w:rsidRPr="008F4742">
        <w:rPr>
          <w:b/>
          <w:bCs/>
        </w:rPr>
        <w:t>să efectueze teste de ultimă generație și evaluări ale modelelor</w:t>
      </w:r>
      <w:r w:rsidRPr="008F4742">
        <w:t> și să asigure </w:t>
      </w:r>
      <w:r w:rsidRPr="008F4742">
        <w:rPr>
          <w:b/>
          <w:bCs/>
        </w:rPr>
        <w:t>securitatea cibernetică</w:t>
      </w:r>
      <w:r w:rsidRPr="008F4742">
        <w:t> a modelelor lor.</w:t>
      </w:r>
    </w:p>
    <w:p w14:paraId="47B9D573" w14:textId="77777777" w:rsidR="008F4742" w:rsidRPr="008F4742" w:rsidRDefault="008F4742" w:rsidP="008F4742">
      <w:r w:rsidRPr="008F4742">
        <w:t>Furnizorii sunt invitați să colaboreze cu Oficiul pentru IA și cu alte părți interesate pentru a elabora un cod de bune practici, care să detalieze normele și, astfel, să asigure dezvoltarea sigură și responsabilă a modelelor lor. Acest cod ar trebui să reprezinte un instrument central prin care furnizorii de modele de IA de uz general să demonstreze conformitatea.</w:t>
      </w:r>
      <w:r w:rsidRPr="008F4742">
        <w:rPr>
          <w:b/>
          <w:bCs/>
        </w:rPr>
        <w:t> </w:t>
      </w:r>
    </w:p>
    <w:p w14:paraId="555BB6B9" w14:textId="77777777" w:rsidR="008F4742" w:rsidRDefault="008F4742" w:rsidP="008F4742">
      <w:pPr>
        <w:rPr>
          <w:b/>
          <w:bCs/>
        </w:rPr>
      </w:pPr>
      <w:r>
        <w:rPr>
          <w:b/>
          <w:bCs/>
        </w:rPr>
        <w:t xml:space="preserve">@@@Question </w:t>
      </w:r>
      <w:r>
        <w:rPr>
          <w:b/>
          <w:bCs/>
        </w:rPr>
        <w:t>9</w:t>
      </w:r>
    </w:p>
    <w:p w14:paraId="3F3E7412" w14:textId="47B712DE" w:rsidR="008F4742" w:rsidRPr="008F4742" w:rsidRDefault="008F4742" w:rsidP="008F4742">
      <w:pPr>
        <w:rPr>
          <w:b/>
          <w:bCs/>
        </w:rPr>
      </w:pPr>
      <w:r w:rsidRPr="008F4742">
        <w:rPr>
          <w:b/>
          <w:bCs/>
        </w:rPr>
        <w:t>De ce este 10^25 FLOP un prag adecvat pentru sistemele de IA de uz general cu riscuri sistemice?</w:t>
      </w:r>
    </w:p>
    <w:p w14:paraId="59F7A177" w14:textId="77777777" w:rsidR="008F4742" w:rsidRPr="008F4742" w:rsidRDefault="008F4742" w:rsidP="008F4742">
      <w:r w:rsidRPr="008F4742">
        <w:t>FLOP este o indicație a capacității modelului, iar pragul FLOP exact poate fi actualizat – în sus sau în jos – de către Comisie, de exemplu prin prisma progreselor înregistrate în măsurarea obiectivă a capacităților modelului și a evoluțiilor în ceea ce privește puterea de calcul necesară pentru un anumit nivel de performanță.</w:t>
      </w:r>
    </w:p>
    <w:p w14:paraId="0BFA44A6" w14:textId="77777777" w:rsidR="008F4742" w:rsidRPr="008F4742" w:rsidRDefault="008F4742" w:rsidP="008F4742">
      <w:r w:rsidRPr="008F4742">
        <w:t>Capacitățile modelelor care depășesc acest prag nu sunt încă suficient de bine înțelese. Acestea ar putea prezenta riscuri sistemice și, prin urmare, este rezonabil ca furnizorii lor să fie supuși setului suplimentar de obligații.</w:t>
      </w:r>
    </w:p>
    <w:p w14:paraId="2272FFDC" w14:textId="77777777" w:rsidR="008F4742" w:rsidRDefault="008F4742" w:rsidP="008F4742">
      <w:pPr>
        <w:rPr>
          <w:b/>
          <w:bCs/>
        </w:rPr>
      </w:pPr>
      <w:r>
        <w:rPr>
          <w:b/>
          <w:bCs/>
        </w:rPr>
        <w:t>@@@Question 1</w:t>
      </w:r>
      <w:r>
        <w:rPr>
          <w:b/>
          <w:bCs/>
        </w:rPr>
        <w:t>0</w:t>
      </w:r>
    </w:p>
    <w:p w14:paraId="1B2855CB" w14:textId="4A43B491" w:rsidR="008F4742" w:rsidRPr="008F4742" w:rsidRDefault="008F4742" w:rsidP="008F4742">
      <w:pPr>
        <w:rPr>
          <w:b/>
          <w:bCs/>
        </w:rPr>
      </w:pPr>
      <w:r w:rsidRPr="008F4742">
        <w:rPr>
          <w:b/>
          <w:bCs/>
        </w:rPr>
        <w:t>Care sunt obligațiile în ceea ce privește marcarea și etichetarea rezultatelor IA prevăzute în Regulamentul privind IA? </w:t>
      </w:r>
    </w:p>
    <w:p w14:paraId="75701D24" w14:textId="77777777" w:rsidR="008F4742" w:rsidRPr="008F4742" w:rsidRDefault="008F4742" w:rsidP="008F4742">
      <w:r w:rsidRPr="008F4742">
        <w:t>Regulamentul privind IA stabilește norme de transparență pentru conținutul produs de IA generativă pentru a aborda riscul de manipulare, înșelăciune și dezinformare.  </w:t>
      </w:r>
    </w:p>
    <w:p w14:paraId="691AEA75" w14:textId="77777777" w:rsidR="008F4742" w:rsidRPr="008F4742" w:rsidRDefault="008F4742" w:rsidP="008F4742">
      <w:r w:rsidRPr="008F4742">
        <w:t>Aceasta obligă furnizorii de sisteme de IA generative să marcheze rezultatele IA într-un format care poate fi citit automat și să se asigure că acestea sunt detectabile ca fiind generate sau manipulate artificial. Soluțiile tehnice trebuie să fie eficace, interoperabile, solide și fiabile, în măsura în care acest lucru este fezabil din punct de vedere tehnic, ținând seama de particularitățile și limitările diferitelor tipuri de conținut, de costurile de punere în aplicare și de stadiul de avansare general recunoscut al tehnologiei, astfel cum poate fi reflectat în standardele tehnice relevante.  </w:t>
      </w:r>
    </w:p>
    <w:p w14:paraId="48A1786C" w14:textId="77777777" w:rsidR="008F4742" w:rsidRPr="008F4742" w:rsidRDefault="008F4742" w:rsidP="008F4742">
      <w:r w:rsidRPr="008F4742">
        <w:t>În plus, implementatorii de sisteme de IA generative care generează sau manipulează conținuturi de imagine, audio sau video care constituie </w:t>
      </w:r>
      <w:r w:rsidRPr="008F4742">
        <w:rPr>
          <w:i/>
          <w:iCs/>
        </w:rPr>
        <w:t>deepfake</w:t>
      </w:r>
      <w:r w:rsidRPr="008F4742">
        <w:t> trebuie să dezvăluie în mod vizibil faptul că conținutul a fost generat sau manipulat artificial. Implementatorii unui sistem de IA care generează sau manipulează texte publicate cu scopul de a informa publicul cu privire la chestiuni de interes public trebuie, de asemenea, să dezvăluie faptul că textul a fost generat sau manipulat artificial. Această obligație nu se aplică în cazul în care conținutul generat de IA a fost supus unui proces de revizuire umană sau de control editorial și în cazul în care o persoană fizică sau juridică deține responsabilitatea editorială pentru publicarea conținutului. </w:t>
      </w:r>
    </w:p>
    <w:p w14:paraId="7595B2FA" w14:textId="77777777" w:rsidR="008F4742" w:rsidRPr="008F4742" w:rsidRDefault="008F4742" w:rsidP="008F4742">
      <w:r w:rsidRPr="008F4742">
        <w:t>Oficiul pentru IA va publica linii directoare pentru a oferi orientări suplimentare furnizorilor și implementatorilor cu privire la obligațiile prevăzute la articolul 50, care vor deveni aplicabile la doi ani de la intrarea în vigoare a Regulamentului privind IA (la 2 august 2026).</w:t>
      </w:r>
    </w:p>
    <w:p w14:paraId="0B0028AB" w14:textId="77777777" w:rsidR="008F4742" w:rsidRPr="008F4742" w:rsidRDefault="008F4742" w:rsidP="008F4742">
      <w:r w:rsidRPr="008F4742">
        <w:t>De asemenea, Oficiul pentru IA va încuraja și va facilita elaborarea de coduri de bune practici la nivelul Uniunii pentru a facilita punerea în aplicare efectivă a obligațiilor privind depistarea și etichetarea conținutului generat sau manipulat artificial.  </w:t>
      </w:r>
    </w:p>
    <w:p w14:paraId="3E40C0C6" w14:textId="77777777" w:rsidR="008F4742" w:rsidRDefault="008F4742" w:rsidP="008F4742">
      <w:pPr>
        <w:rPr>
          <w:b/>
          <w:bCs/>
        </w:rPr>
      </w:pPr>
      <w:r>
        <w:rPr>
          <w:b/>
          <w:bCs/>
        </w:rPr>
        <w:t>@@@Question 1</w:t>
      </w:r>
      <w:r>
        <w:rPr>
          <w:b/>
          <w:bCs/>
        </w:rPr>
        <w:t>1</w:t>
      </w:r>
    </w:p>
    <w:p w14:paraId="2024E7BD" w14:textId="1C95EA0D" w:rsidR="008F4742" w:rsidRPr="008F4742" w:rsidRDefault="008F4742" w:rsidP="008F4742">
      <w:pPr>
        <w:rPr>
          <w:b/>
          <w:bCs/>
        </w:rPr>
      </w:pPr>
      <w:r w:rsidRPr="008F4742">
        <w:rPr>
          <w:b/>
          <w:bCs/>
        </w:rPr>
        <w:t>Este Regulamentul privind IA adaptat exigențelor viitorului?</w:t>
      </w:r>
    </w:p>
    <w:p w14:paraId="42DAF94E" w14:textId="77777777" w:rsidR="008F4742" w:rsidRPr="008F4742" w:rsidRDefault="008F4742" w:rsidP="008F4742">
      <w:r w:rsidRPr="008F4742">
        <w:t>Regulamentul privind IA stabilește un cadru juridic care răspunde noilor evoluții, este ușor și rapid de adaptat și permite o evaluare frecventă.</w:t>
      </w:r>
    </w:p>
    <w:p w14:paraId="659AEF4A" w14:textId="77777777" w:rsidR="008F4742" w:rsidRPr="008F4742" w:rsidRDefault="008F4742" w:rsidP="008F4742">
      <w:r w:rsidRPr="008F4742">
        <w:lastRenderedPageBreak/>
        <w:t>Regulamentul privind IA stabilește cerințe orientate spre rezultate și obligații, dar lasă soluțiile tehnice concrete și operaționalizarea în sarcina standardelor definite de sectoarele vizate și a codurilor de bune practici care sunt flexibile, astfel încât să fie adaptate la diferite cazuri de utilizare și să permită noi soluții tehnologice.</w:t>
      </w:r>
    </w:p>
    <w:p w14:paraId="03DACE71" w14:textId="77777777" w:rsidR="008F4742" w:rsidRPr="008F4742" w:rsidRDefault="008F4742" w:rsidP="008F4742">
      <w:r w:rsidRPr="008F4742">
        <w:t>În plus, legislația în sine poate fi modificată prin acte delegate și acte de punere în aplicare, de exemplu pentru a revizui lista cazurilor de utilizare cu risc ridicat din anexa III.</w:t>
      </w:r>
    </w:p>
    <w:p w14:paraId="7C2E6F62" w14:textId="77777777" w:rsidR="008F4742" w:rsidRPr="008F4742" w:rsidRDefault="008F4742" w:rsidP="008F4742">
      <w:r w:rsidRPr="008F4742">
        <w:t>În cele din urmă, vor exista evaluări frecvente ale anumitor părți ale Regulamentului privind IA și, în cele din urmă, ale întregului regulament, asigurându-se că este identificată orice necesitate de revizuire și modificare.</w:t>
      </w:r>
    </w:p>
    <w:p w14:paraId="5CBE165D" w14:textId="77777777" w:rsidR="008F4742" w:rsidRDefault="008F4742" w:rsidP="008F4742">
      <w:pPr>
        <w:rPr>
          <w:b/>
          <w:bCs/>
        </w:rPr>
      </w:pPr>
      <w:r>
        <w:rPr>
          <w:b/>
          <w:bCs/>
        </w:rPr>
        <w:t>@@@Question 1</w:t>
      </w:r>
      <w:r>
        <w:rPr>
          <w:b/>
          <w:bCs/>
        </w:rPr>
        <w:t>2</w:t>
      </w:r>
    </w:p>
    <w:p w14:paraId="1C73F47F" w14:textId="50A81F1A" w:rsidR="008F4742" w:rsidRPr="008F4742" w:rsidRDefault="008F4742" w:rsidP="008F4742">
      <w:pPr>
        <w:rPr>
          <w:b/>
          <w:bCs/>
        </w:rPr>
      </w:pPr>
      <w:r w:rsidRPr="008F4742">
        <w:rPr>
          <w:b/>
          <w:bCs/>
        </w:rPr>
        <w:t>Cum se reglementează identificarea biometrică în Regulamentul privind IA?</w:t>
      </w:r>
    </w:p>
    <w:p w14:paraId="27776336" w14:textId="77777777" w:rsidR="008F4742" w:rsidRPr="008F4742" w:rsidRDefault="008F4742" w:rsidP="008F4742">
      <w:r w:rsidRPr="008F4742">
        <w:t>Utilizarea </w:t>
      </w:r>
      <w:r w:rsidRPr="008F4742">
        <w:rPr>
          <w:b/>
          <w:bCs/>
          <w:u w:val="single"/>
        </w:rPr>
        <w:t>identificării biometrice la distanță în timp real</w:t>
      </w:r>
      <w:r w:rsidRPr="008F4742">
        <w:t> </w:t>
      </w:r>
      <w:r w:rsidRPr="008F4742">
        <w:rPr>
          <w:b/>
          <w:bCs/>
        </w:rPr>
        <w:t>în spațiile accesibile publicului</w:t>
      </w:r>
      <w:r w:rsidRPr="008F4742">
        <w:t> (și anume, recunoașterea facială utilizând TVCI) în scopul asigurării respectării legii este interzisă. Statele membre pot introduce prin lege excepții care ar permite utilizarea identificării biometrice la distanță în timp real în următoarele cazuri:</w:t>
      </w:r>
    </w:p>
    <w:p w14:paraId="2A25D580" w14:textId="77777777" w:rsidR="008F4742" w:rsidRPr="008F4742" w:rsidRDefault="008F4742" w:rsidP="008F4742">
      <w:pPr>
        <w:numPr>
          <w:ilvl w:val="0"/>
          <w:numId w:val="23"/>
        </w:numPr>
      </w:pPr>
      <w:r w:rsidRPr="008F4742">
        <w:t>activități de asigurare a respectării legii legate de 16 infracțiuni foarte grave specificate;</w:t>
      </w:r>
    </w:p>
    <w:p w14:paraId="087C62E6" w14:textId="77777777" w:rsidR="008F4742" w:rsidRPr="008F4742" w:rsidRDefault="008F4742" w:rsidP="008F4742">
      <w:pPr>
        <w:numPr>
          <w:ilvl w:val="0"/>
          <w:numId w:val="23"/>
        </w:numPr>
      </w:pPr>
      <w:r w:rsidRPr="008F4742">
        <w:t>căutarea specifică a anumitor victime – în caz de răpiri, trafic și exploatare sexuală a persoanelor – și a persoanelor dispărute sau</w:t>
      </w:r>
    </w:p>
    <w:p w14:paraId="26EACB67" w14:textId="77777777" w:rsidR="008F4742" w:rsidRPr="008F4742" w:rsidRDefault="008F4742" w:rsidP="008F4742">
      <w:pPr>
        <w:numPr>
          <w:ilvl w:val="0"/>
          <w:numId w:val="23"/>
        </w:numPr>
      </w:pPr>
      <w:r w:rsidRPr="008F4742">
        <w:t>prevenirea amenințărilor la adresa vieții sau a siguranței fizice a persoanelor sau pentru a răspunde la amenințarea actuală sau previzibilă cu săvârșirea unui atac terorist.</w:t>
      </w:r>
    </w:p>
    <w:p w14:paraId="1889EA97" w14:textId="77777777" w:rsidR="008F4742" w:rsidRPr="008F4742" w:rsidRDefault="008F4742" w:rsidP="008F4742">
      <w:r w:rsidRPr="008F4742">
        <w:t>Orice utilizare excepțională ar urma să facă obiectul </w:t>
      </w:r>
      <w:r w:rsidRPr="008F4742">
        <w:rPr>
          <w:b/>
          <w:bCs/>
        </w:rPr>
        <w:t>autorizării prealabile de către o autoritate judiciară sau de către o autoritate administrativă independentă</w:t>
      </w:r>
      <w:r w:rsidRPr="008F4742">
        <w:t>, a cărei decizie va fi obligatorie. În caz de urgență, autorizarea poate fi acordată în termen de 24 de ore; în cazul în care autorizația este respinsă, toate datele și rezultatele trebuie să fie șterse.</w:t>
      </w:r>
    </w:p>
    <w:p w14:paraId="7DF950DC" w14:textId="77777777" w:rsidR="008F4742" w:rsidRPr="008F4742" w:rsidRDefault="008F4742" w:rsidP="008F4742">
      <w:r w:rsidRPr="008F4742">
        <w:t>Aceasta ar trebui să fie precedată de o </w:t>
      </w:r>
      <w:r w:rsidRPr="008F4742">
        <w:rPr>
          <w:b/>
          <w:bCs/>
        </w:rPr>
        <w:t>evaluare prealabilă a impactului asupra drepturilor fundamentale</w:t>
      </w:r>
      <w:r w:rsidRPr="008F4742">
        <w:t> și ar trebui </w:t>
      </w:r>
      <w:r w:rsidRPr="008F4742">
        <w:rPr>
          <w:b/>
          <w:bCs/>
        </w:rPr>
        <w:t>notificată autorității relevante de supraveghere a pieței și autorității pentru protecția datelor</w:t>
      </w:r>
      <w:r w:rsidRPr="008F4742">
        <w:t>. În caz de urgență, utilizarea sistemului poate începe fără înregistrare.</w:t>
      </w:r>
    </w:p>
    <w:p w14:paraId="609FF5FD" w14:textId="77777777" w:rsidR="008F4742" w:rsidRPr="008F4742" w:rsidRDefault="008F4742" w:rsidP="008F4742">
      <w:r w:rsidRPr="008F4742">
        <w:t>Utilizarea sistemelor de IA pentru </w:t>
      </w:r>
      <w:r w:rsidRPr="008F4742">
        <w:rPr>
          <w:b/>
          <w:bCs/>
          <w:u w:val="single"/>
        </w:rPr>
        <w:t>identificarea biometrică ulterioară la distanță</w:t>
      </w:r>
      <w:r w:rsidRPr="008F4742">
        <w:t> (identificarea folosind materiale colectate anterior) ale persoanelor anchetate necesită o </w:t>
      </w:r>
      <w:r w:rsidRPr="008F4742">
        <w:rPr>
          <w:b/>
          <w:bCs/>
        </w:rPr>
        <w:t>autorizare prealabilă</w:t>
      </w:r>
      <w:r w:rsidRPr="008F4742">
        <w:t> din partea unei autorități judiciare sau a unei autorități administrative independente, precum și notificarea autorității de protecție a datelor și de supraveghere a pieței relevante.</w:t>
      </w:r>
    </w:p>
    <w:p w14:paraId="00610231" w14:textId="77777777" w:rsidR="008F4742" w:rsidRDefault="008F4742" w:rsidP="008F4742">
      <w:pPr>
        <w:rPr>
          <w:b/>
          <w:bCs/>
        </w:rPr>
      </w:pPr>
      <w:r>
        <w:rPr>
          <w:b/>
          <w:bCs/>
        </w:rPr>
        <w:t>@@@Question 1</w:t>
      </w:r>
      <w:r>
        <w:rPr>
          <w:b/>
          <w:bCs/>
        </w:rPr>
        <w:t>3</w:t>
      </w:r>
    </w:p>
    <w:p w14:paraId="73ACE4AA" w14:textId="59BB455E" w:rsidR="008F4742" w:rsidRPr="008F4742" w:rsidRDefault="008F4742" w:rsidP="008F4742">
      <w:pPr>
        <w:rPr>
          <w:b/>
          <w:bCs/>
        </w:rPr>
      </w:pPr>
      <w:r w:rsidRPr="008F4742">
        <w:rPr>
          <w:b/>
          <w:bCs/>
        </w:rPr>
        <w:t>De ce sunt necesare norme speciale pentru identificarea biometrică la distanță? </w:t>
      </w:r>
    </w:p>
    <w:p w14:paraId="4ACD5454" w14:textId="77777777" w:rsidR="008F4742" w:rsidRPr="008F4742" w:rsidRDefault="008F4742" w:rsidP="008F4742">
      <w:r w:rsidRPr="008F4742">
        <w:t>Identificarea biometrică poate avea diferite forme. Autentificarea și verificarea biometrică, și anume deblocarea unui telefon inteligent sau verificarea/autentificarea la punctele de trecere a frontierei pentru a verifica identitatea unei persoane în raport cu documentele sale de călătorie (compararea unu la unu) rămân nereglementate, deoarece nu prezintă un risc semnificativ pentru drepturile fundamentale.</w:t>
      </w:r>
    </w:p>
    <w:p w14:paraId="4228FD0C" w14:textId="77777777" w:rsidR="008F4742" w:rsidRPr="008F4742" w:rsidRDefault="008F4742" w:rsidP="008F4742">
      <w:r w:rsidRPr="008F4742">
        <w:t>În schimb, identificarea biometrică poate fi utilizată, de asemenea, la distanță, de exemplu pentru a identifica persoanele dintr-o mulțime, ceea ce poate avea un impact semnificativ asupra vieții private în spațiul public.</w:t>
      </w:r>
    </w:p>
    <w:p w14:paraId="398089BB" w14:textId="77777777" w:rsidR="008F4742" w:rsidRPr="008F4742" w:rsidRDefault="008F4742" w:rsidP="008F4742">
      <w:r w:rsidRPr="008F4742">
        <w:t>Precizia sistemelor de recunoaștere facială poate fi influențată semnificativ de o gamă variată de factori, cum ar fi calitatea camerei, lumina, distanța, baza de date, algoritmul, precum și originea etnică, vârsta sau sexul persoanei vizate. Același lucru este valabil și în cazul sistemelor de recunoaștere a mersului și a vocii, precum și al altor sisteme biometrice. Sistemele foarte avansate își reduc în permanență ratele de falsă acceptare.</w:t>
      </w:r>
    </w:p>
    <w:p w14:paraId="133092A5" w14:textId="77777777" w:rsidR="008F4742" w:rsidRPr="008F4742" w:rsidRDefault="008F4742" w:rsidP="008F4742">
      <w:r w:rsidRPr="008F4742">
        <w:lastRenderedPageBreak/>
        <w:t>Cu toate că o rată de precizie de 99 % poate părea bună în general, aceasta reprezintă un risc considerabil atunci când rezultatul poate conduce la existența unor suspiciuni împotriva unor persoane nevinovate. Chiar și o rată de eroare de 0,1 % poate avea un impact semnificativ atunci când este aplicată unor populații de mari dimensiuni, de exemplu în gări.</w:t>
      </w:r>
    </w:p>
    <w:p w14:paraId="2DC57393" w14:textId="77777777" w:rsidR="008F4742" w:rsidRDefault="008F4742" w:rsidP="008F4742">
      <w:pPr>
        <w:rPr>
          <w:b/>
          <w:bCs/>
        </w:rPr>
      </w:pPr>
      <w:r>
        <w:rPr>
          <w:b/>
          <w:bCs/>
        </w:rPr>
        <w:t>@@@Question 1</w:t>
      </w:r>
      <w:r>
        <w:rPr>
          <w:b/>
          <w:bCs/>
        </w:rPr>
        <w:t>4</w:t>
      </w:r>
    </w:p>
    <w:p w14:paraId="497670E6" w14:textId="4094F69B" w:rsidR="008F4742" w:rsidRPr="008F4742" w:rsidRDefault="008F4742" w:rsidP="008F4742">
      <w:pPr>
        <w:rPr>
          <w:b/>
          <w:bCs/>
        </w:rPr>
      </w:pPr>
      <w:r w:rsidRPr="008F4742">
        <w:rPr>
          <w:b/>
          <w:bCs/>
        </w:rPr>
        <w:t>Cum protejează normele drepturile fundamentale?</w:t>
      </w:r>
    </w:p>
    <w:p w14:paraId="5FD600CB" w14:textId="77777777" w:rsidR="008F4742" w:rsidRPr="008F4742" w:rsidRDefault="008F4742" w:rsidP="008F4742">
      <w:r w:rsidRPr="008F4742">
        <w:t>La nivelul UE și al statelor membre s-a instituit deja o protecție solidă a drepturilor fundamentale și împotriva discriminării, dar complexitatea și opacitatea anumitor aplicații de IA („cutiile negre”) pot să ridice probleme.</w:t>
      </w:r>
    </w:p>
    <w:p w14:paraId="2FE95266" w14:textId="77777777" w:rsidR="008F4742" w:rsidRPr="008F4742" w:rsidRDefault="008F4742" w:rsidP="008F4742">
      <w:r w:rsidRPr="008F4742">
        <w:t>O abordare a IA centrată pe factorul uman înseamnă asigurarea faptului că aplicațiile de IA respectă legislația privind drepturile fundamentale. Prin integrarea cerințelor în materie de responsabilitate și transparență în dezvoltarea sistemelor de IA cu grad ridicat de risc și prin îmbunătățirea capacităților de asigurare a respectării legii, ne putem asigura că aceste sisteme sunt concepute ținând seama de conformitatea juridică încă de la început. Datorită acestor cerințe, autoritățile naționale vor putea, în cazul unei încălcări, să aibă acces la informațiile necesare pentru a investiga dacă utilizarea IA a respectat legislația UE.</w:t>
      </w:r>
    </w:p>
    <w:p w14:paraId="250AE70D" w14:textId="77777777" w:rsidR="008F4742" w:rsidRPr="008F4742" w:rsidRDefault="008F4742" w:rsidP="008F4742">
      <w:r w:rsidRPr="008F4742">
        <w:t>În plus, Regulamentul privind IA impune ca anumiți implementatori de sisteme de IA cu grad ridicat de risc să efectueze o evaluare a impactului asupra drepturilor fundamentale.</w:t>
      </w:r>
      <w:r w:rsidRPr="008F4742">
        <w:rPr>
          <w:b/>
          <w:bCs/>
        </w:rPr>
        <w:t> </w:t>
      </w:r>
    </w:p>
    <w:p w14:paraId="5523C5BB" w14:textId="77777777" w:rsidR="008F4742" w:rsidRDefault="008F4742" w:rsidP="008F4742">
      <w:pPr>
        <w:rPr>
          <w:b/>
          <w:bCs/>
        </w:rPr>
      </w:pPr>
      <w:r>
        <w:rPr>
          <w:b/>
          <w:bCs/>
        </w:rPr>
        <w:t>@@@Question 1</w:t>
      </w:r>
      <w:r>
        <w:rPr>
          <w:b/>
          <w:bCs/>
        </w:rPr>
        <w:t>5</w:t>
      </w:r>
    </w:p>
    <w:p w14:paraId="2E4EA8F4" w14:textId="18321A33" w:rsidR="008F4742" w:rsidRPr="008F4742" w:rsidRDefault="008F4742" w:rsidP="008F4742">
      <w:pPr>
        <w:rPr>
          <w:b/>
          <w:bCs/>
        </w:rPr>
      </w:pPr>
      <w:r w:rsidRPr="008F4742">
        <w:rPr>
          <w:b/>
          <w:bCs/>
        </w:rPr>
        <w:t>Ce presupune evaluarea impactului asupra drepturilor fundamentale? Cine trebuie să efectueze o astfel de evaluare și când?</w:t>
      </w:r>
    </w:p>
    <w:p w14:paraId="1AB45A35" w14:textId="77777777" w:rsidR="008F4742" w:rsidRPr="008F4742" w:rsidRDefault="008F4742" w:rsidP="008F4742">
      <w:r w:rsidRPr="008F4742">
        <w:t>Furnizorii de sisteme de IA cu grad ridicat de risc trebuie să efectueze o evaluare a riscurilor și să proiecteze sistemul astfel încât riscurile pentru sănătate, siguranță și drepturile fundamentale să fie reduse la minimum.</w:t>
      </w:r>
    </w:p>
    <w:p w14:paraId="13F55443" w14:textId="77777777" w:rsidR="008F4742" w:rsidRPr="008F4742" w:rsidRDefault="008F4742" w:rsidP="008F4742">
      <w:r w:rsidRPr="008F4742">
        <w:t>Cu toate acestea, anumite riscuri pentru drepturile fundamentale pot fi identificate pe deplin doar cunoscând contextul utilizării sistemului de IA cu grad ridicat de risc. Atunci când sistemele de IA cu grad ridicat de risc sunt utilizate în domenii deosebit de sensibile de posibilă asimetrie a puterii, sunt necesare considerații suplimentare cu privire la astfel de riscuri.</w:t>
      </w:r>
    </w:p>
    <w:p w14:paraId="45AE39E0" w14:textId="77777777" w:rsidR="008F4742" w:rsidRPr="008F4742" w:rsidRDefault="008F4742" w:rsidP="008F4742">
      <w:r w:rsidRPr="008F4742">
        <w:t>Prin urmare, implementatorii care sunt organisme de drept public sau entități private care furnizează servicii publice, precum și operatorii care furnizează sisteme de IA cu grad ridicat de risc care efectuează evaluări ale bonității sau evaluări ale prețurilor și ale riscurilor în domeniul asigurărilor de viață și de sănătate trebuie să efectueze o evaluare a impactului asupra drepturilor fundamentale și să notifice autorității naționale rezultatele obținute.</w:t>
      </w:r>
    </w:p>
    <w:p w14:paraId="47EF0E4E" w14:textId="77777777" w:rsidR="008F4742" w:rsidRPr="008F4742" w:rsidRDefault="008F4742" w:rsidP="008F4742">
      <w:r w:rsidRPr="008F4742">
        <w:t>În practică, mulți implementatori vor trebui, de asemenea, să efectueze o evaluare a impactului asupra protecției datelor. Pentru a evita suprapunerile de fond în astfel de cazuri, evaluarea impactului asupra drepturilor fundamentale se efectuează împreună cu respectiva evaluare a impactului asupra protecției datelor.</w:t>
      </w:r>
    </w:p>
    <w:p w14:paraId="67A2AC7B" w14:textId="77777777" w:rsidR="008F4742" w:rsidRDefault="008F4742" w:rsidP="008F4742">
      <w:pPr>
        <w:rPr>
          <w:b/>
          <w:bCs/>
        </w:rPr>
      </w:pPr>
      <w:r>
        <w:rPr>
          <w:b/>
          <w:bCs/>
        </w:rPr>
        <w:t>@@@Question 1</w:t>
      </w:r>
      <w:r>
        <w:rPr>
          <w:b/>
          <w:bCs/>
        </w:rPr>
        <w:t>6</w:t>
      </w:r>
    </w:p>
    <w:p w14:paraId="3904AE90" w14:textId="44861A10" w:rsidR="008F4742" w:rsidRPr="008F4742" w:rsidRDefault="008F4742" w:rsidP="008F4742">
      <w:pPr>
        <w:rPr>
          <w:b/>
          <w:bCs/>
        </w:rPr>
      </w:pPr>
      <w:r w:rsidRPr="008F4742">
        <w:rPr>
          <w:b/>
          <w:bCs/>
        </w:rPr>
        <w:t>Cum abordează regulamentul prejudecățile rasiale și de gen în domeniul IA?</w:t>
      </w:r>
    </w:p>
    <w:p w14:paraId="03A99731" w14:textId="77777777" w:rsidR="008F4742" w:rsidRPr="008F4742" w:rsidRDefault="008F4742" w:rsidP="008F4742">
      <w:r w:rsidRPr="008F4742">
        <w:t>Este foarte important de subliniat că sistemele de IA </w:t>
      </w:r>
      <w:r w:rsidRPr="008F4742">
        <w:rPr>
          <w:b/>
          <w:bCs/>
        </w:rPr>
        <w:t>nu creează și nu reproduc prejudecăți</w:t>
      </w:r>
      <w:r w:rsidRPr="008F4742">
        <w:t>. Dimpotrivă, atunci când sunt concepute și utilizate în mod corespunzător, </w:t>
      </w:r>
      <w:r w:rsidRPr="008F4742">
        <w:rPr>
          <w:b/>
          <w:bCs/>
        </w:rPr>
        <w:t>sistemele de IA pot să contribuie la reducerea prejudecăților și a discriminării structurale existente</w:t>
      </w:r>
      <w:r w:rsidRPr="008F4742">
        <w:t> și, prin urmare, pot să conducă la decizii mai echitabile și nediscriminatorii (de exemplu, în procesele de recrutare de resurse umane).</w:t>
      </w:r>
    </w:p>
    <w:p w14:paraId="1C19F437" w14:textId="77777777" w:rsidR="008F4742" w:rsidRPr="008F4742" w:rsidRDefault="008F4742" w:rsidP="008F4742">
      <w:r w:rsidRPr="008F4742">
        <w:rPr>
          <w:b/>
          <w:bCs/>
        </w:rPr>
        <w:t>Acesta este obiectivul noilor cerințe obligatorii care se vor aplica tuturor sistemelor de IA ce prezintă un grad ridicat de risc</w:t>
      </w:r>
      <w:r w:rsidRPr="008F4742">
        <w:t>. Sistemele de IA trebuie să fie </w:t>
      </w:r>
      <w:r w:rsidRPr="008F4742">
        <w:rPr>
          <w:b/>
          <w:bCs/>
        </w:rPr>
        <w:t>robuste din punct de vedere tehnic</w:t>
      </w:r>
      <w:r w:rsidRPr="008F4742">
        <w:t xml:space="preserve"> pentru a se asigura că sunt adecvate scopului și nu produc rezultate părtinitoare, cum ar fi rezultatele fals pozitive sau negative, care </w:t>
      </w:r>
      <w:r w:rsidRPr="008F4742">
        <w:lastRenderedPageBreak/>
        <w:t>afectează în mod disproporționat grupurile marginalizate, inclusiv cele bazate pe origine rasială sau etnică, sex, vârstă și alte caracteristici protejate.</w:t>
      </w:r>
    </w:p>
    <w:p w14:paraId="2ABAAB69" w14:textId="77777777" w:rsidR="008F4742" w:rsidRPr="008F4742" w:rsidRDefault="008F4742" w:rsidP="008F4742">
      <w:r w:rsidRPr="008F4742">
        <w:t>De asemenea, sistemele care prezintă un grad ridicat de risc vor trebui să fie </w:t>
      </w:r>
      <w:r w:rsidRPr="008F4742">
        <w:rPr>
          <w:b/>
          <w:bCs/>
        </w:rPr>
        <w:t>antrenate și testate utilizându-se seturi de date suficient de reprezentative</w:t>
      </w:r>
      <w:r w:rsidRPr="008F4742">
        <w:t> pentru </w:t>
      </w:r>
      <w:r w:rsidRPr="008F4742">
        <w:rPr>
          <w:b/>
          <w:bCs/>
        </w:rPr>
        <w:t>a reduce la minimum riscul de încorporare în model a unor prejudecăți inechitabile</w:t>
      </w:r>
      <w:r w:rsidRPr="008F4742">
        <w:t> și pentru a se asigura faptul că acestea pot fi remediate corespunzător prin măsuri de detectare și corectare, precum și prin alte măsuri de atenuare.</w:t>
      </w:r>
    </w:p>
    <w:p w14:paraId="564EB548" w14:textId="77777777" w:rsidR="008F4742" w:rsidRPr="008F4742" w:rsidRDefault="008F4742" w:rsidP="008F4742">
      <w:r w:rsidRPr="008F4742">
        <w:t>De asemenea, aceste sisteme trebuie să aibă funcționalități </w:t>
      </w:r>
      <w:r w:rsidRPr="008F4742">
        <w:rPr>
          <w:b/>
          <w:bCs/>
        </w:rPr>
        <w:t>care să permită trasabilitatea și să poată face obiectul auditurilor</w:t>
      </w:r>
      <w:r w:rsidRPr="008F4742">
        <w:t>, asigurând </w:t>
      </w:r>
      <w:r w:rsidRPr="008F4742">
        <w:rPr>
          <w:b/>
          <w:bCs/>
        </w:rPr>
        <w:t>păstrarea unei documentații</w:t>
      </w:r>
      <w:r w:rsidRPr="008F4742">
        <w:t> adecvate, inclusiv a datelor utilizate pentru antrenarea algoritmului, care ar fi esențiale în investigațiile ulterioare.</w:t>
      </w:r>
    </w:p>
    <w:p w14:paraId="248D78B4" w14:textId="77777777" w:rsidR="008F4742" w:rsidRPr="008F4742" w:rsidRDefault="008F4742" w:rsidP="008F4742">
      <w:r w:rsidRPr="008F4742">
        <w:rPr>
          <w:b/>
          <w:bCs/>
        </w:rPr>
        <w:t>Un sistem de verificare a conformității înainte și după introducerea pe piață</w:t>
      </w:r>
      <w:r w:rsidRPr="008F4742">
        <w:t> a sistemelor de IA va trebui să asigure faptul că acestea sunt </w:t>
      </w:r>
      <w:r w:rsidRPr="008F4742">
        <w:rPr>
          <w:b/>
          <w:bCs/>
        </w:rPr>
        <w:t>monitorizate cu regularitate</w:t>
      </w:r>
      <w:r w:rsidRPr="008F4742">
        <w:t> și că </w:t>
      </w:r>
      <w:r w:rsidRPr="008F4742">
        <w:rPr>
          <w:b/>
          <w:bCs/>
        </w:rPr>
        <w:t>eventualele riscuri sunt abordate cu promptitudine</w:t>
      </w:r>
      <w:r w:rsidRPr="008F4742">
        <w:t>.</w:t>
      </w:r>
      <w:r w:rsidRPr="008F4742">
        <w:rPr>
          <w:b/>
          <w:bCs/>
        </w:rPr>
        <w:t> </w:t>
      </w:r>
    </w:p>
    <w:p w14:paraId="18A77C94" w14:textId="77777777" w:rsidR="008F4742" w:rsidRDefault="008F4742" w:rsidP="008F4742">
      <w:pPr>
        <w:rPr>
          <w:b/>
          <w:bCs/>
        </w:rPr>
      </w:pPr>
      <w:r>
        <w:rPr>
          <w:b/>
          <w:bCs/>
        </w:rPr>
        <w:t>@@@Question 1</w:t>
      </w:r>
      <w:r>
        <w:rPr>
          <w:b/>
          <w:bCs/>
        </w:rPr>
        <w:t>7</w:t>
      </w:r>
    </w:p>
    <w:p w14:paraId="625C5A4B" w14:textId="54388DDF" w:rsidR="008F4742" w:rsidRPr="008F4742" w:rsidRDefault="008F4742" w:rsidP="008F4742">
      <w:pPr>
        <w:rPr>
          <w:b/>
          <w:bCs/>
        </w:rPr>
      </w:pPr>
      <w:r w:rsidRPr="008F4742">
        <w:rPr>
          <w:b/>
          <w:bCs/>
        </w:rPr>
        <w:t>Când va fi pe deplin aplicabil Regulamentul privind IA?</w:t>
      </w:r>
    </w:p>
    <w:p w14:paraId="0C00E556" w14:textId="77777777" w:rsidR="008F4742" w:rsidRPr="008F4742" w:rsidRDefault="008F4742" w:rsidP="008F4742">
      <w:r w:rsidRPr="008F4742">
        <w:t>Regulamentul privind IA se va aplica la doi ani de la intrarea în vigoare la 2 august 2026, cu excepția următoarelor dispoziții specifice:</w:t>
      </w:r>
    </w:p>
    <w:p w14:paraId="196AD1E9" w14:textId="77777777" w:rsidR="008F4742" w:rsidRPr="008F4742" w:rsidRDefault="008F4742" w:rsidP="008F4742">
      <w:pPr>
        <w:numPr>
          <w:ilvl w:val="0"/>
          <w:numId w:val="24"/>
        </w:numPr>
      </w:pPr>
      <w:r w:rsidRPr="008F4742">
        <w:t>interdicțiile, definițiile și dispozițiile legate de alfabetizarea în domeniul IA se vor aplica la 6 luni de la intrarea în vigoare, la 2 februarie 2025;</w:t>
      </w:r>
    </w:p>
    <w:p w14:paraId="32039DEE" w14:textId="77777777" w:rsidR="008F4742" w:rsidRPr="008F4742" w:rsidRDefault="008F4742" w:rsidP="008F4742">
      <w:pPr>
        <w:numPr>
          <w:ilvl w:val="0"/>
          <w:numId w:val="25"/>
        </w:numPr>
      </w:pPr>
      <w:r w:rsidRPr="008F4742">
        <w:t>normele privind guvernanța și obligațiile pentru IA de uz general devin aplicabile la 12 luni de la intrarea în vigoare la, 2 august 2025;</w:t>
      </w:r>
    </w:p>
    <w:p w14:paraId="4FCE7579" w14:textId="77777777" w:rsidR="008F4742" w:rsidRPr="008F4742" w:rsidRDefault="008F4742" w:rsidP="008F4742">
      <w:pPr>
        <w:numPr>
          <w:ilvl w:val="0"/>
          <w:numId w:val="26"/>
        </w:numPr>
      </w:pPr>
      <w:r w:rsidRPr="008F4742">
        <w:t>obligațiile pentru sistemele de IA cu grad ridicat de risc care se clasifică ca având un grad ridicat de risc deoarece sunt încorporate în produsele reglementate, enumerate în anexa II (lista legislației de armonizare a Uniunii), se aplică la 36 de luni de la intrarea în vigoare, la 2 august 2027.</w:t>
      </w:r>
    </w:p>
    <w:p w14:paraId="4C467667" w14:textId="77777777" w:rsidR="008F4742" w:rsidRDefault="008F4742" w:rsidP="008F4742">
      <w:pPr>
        <w:rPr>
          <w:b/>
          <w:bCs/>
        </w:rPr>
      </w:pPr>
      <w:r>
        <w:rPr>
          <w:b/>
          <w:bCs/>
        </w:rPr>
        <w:t>@@@Question 1</w:t>
      </w:r>
      <w:r>
        <w:rPr>
          <w:b/>
          <w:bCs/>
        </w:rPr>
        <w:t>8</w:t>
      </w:r>
    </w:p>
    <w:p w14:paraId="3E7D7DC5" w14:textId="6661AD69" w:rsidR="008F4742" w:rsidRPr="008F4742" w:rsidRDefault="008F4742" w:rsidP="008F4742">
      <w:pPr>
        <w:rPr>
          <w:b/>
          <w:bCs/>
        </w:rPr>
      </w:pPr>
      <w:r w:rsidRPr="008F4742">
        <w:rPr>
          <w:b/>
          <w:bCs/>
        </w:rPr>
        <w:t>Cum se va asigura respectarea măsurilor propuse?</w:t>
      </w:r>
    </w:p>
    <w:p w14:paraId="6F4ECE19" w14:textId="77777777" w:rsidR="008F4742" w:rsidRPr="008F4742" w:rsidRDefault="008F4742" w:rsidP="008F4742">
      <w:r w:rsidRPr="008F4742">
        <w:t>Regulamentul privind IA instituie un sistem de guvernanță pe două niveluri, în care </w:t>
      </w:r>
      <w:r w:rsidRPr="008F4742">
        <w:rPr>
          <w:b/>
          <w:bCs/>
        </w:rPr>
        <w:t>autoritățile naționale</w:t>
      </w:r>
      <w:r w:rsidRPr="008F4742">
        <w:t> sunt responsabile de supravegherea și asigurarea respectării normelor pentru sistemele de IA, în timp ce nivelul UE este responsabil de reglementarea modelelor de IA de uz general.</w:t>
      </w:r>
    </w:p>
    <w:p w14:paraId="3D4585A0" w14:textId="77777777" w:rsidR="008F4742" w:rsidRPr="008F4742" w:rsidRDefault="008F4742" w:rsidP="008F4742">
      <w:r w:rsidRPr="008F4742">
        <w:t>Pentru a asigura coerența și cooperarea la nivelul UE, va fi instituit </w:t>
      </w:r>
      <w:r w:rsidRPr="008F4742">
        <w:rPr>
          <w:b/>
          <w:bCs/>
        </w:rPr>
        <w:t>Comitetul european pentru inteligența artificială</w:t>
      </w:r>
      <w:r w:rsidRPr="008F4742">
        <w:t> (Comitetul pentru IA), format din reprezentanți ai statelor membre, cu subgrupuri specializate pentru autoritățile naționale de reglementare și alte autorități competente.</w:t>
      </w:r>
    </w:p>
    <w:p w14:paraId="2F241E5F" w14:textId="77777777" w:rsidR="008F4742" w:rsidRPr="008F4742" w:rsidRDefault="008F4742" w:rsidP="008F4742">
      <w:r w:rsidRPr="008F4742">
        <w:rPr>
          <w:b/>
          <w:bCs/>
        </w:rPr>
        <w:t>Oficiul pentru IA</w:t>
      </w:r>
      <w:r w:rsidRPr="008F4742">
        <w:t>, organismul de punere în aplicare al Comisiei pentru Regulamentul privind IA, va oferi orientări strategice Comitetului pentru IA.</w:t>
      </w:r>
    </w:p>
    <w:p w14:paraId="17ADF4C9" w14:textId="77777777" w:rsidR="008F4742" w:rsidRPr="008F4742" w:rsidRDefault="008F4742" w:rsidP="008F4742">
      <w:r w:rsidRPr="008F4742">
        <w:t>În plus, Regulamentul privind IA instituie două organisme consultative pentru a furniza contribuții de specialitate: </w:t>
      </w:r>
      <w:r w:rsidRPr="008F4742">
        <w:rPr>
          <w:b/>
          <w:bCs/>
        </w:rPr>
        <w:t>grupul științific</w:t>
      </w:r>
      <w:r w:rsidRPr="008F4742">
        <w:t> și </w:t>
      </w:r>
      <w:r w:rsidRPr="008F4742">
        <w:rPr>
          <w:b/>
          <w:bCs/>
        </w:rPr>
        <w:t>forumul consultativ</w:t>
      </w:r>
      <w:r w:rsidRPr="008F4742">
        <w:t>. Aceste organisme vor oferi informații valoroase din partea părților interesate și a comunităților științifice interdisciplinare, contribuind la procesul decizional și asigurând o abordare echilibrată a dezvoltării IA.</w:t>
      </w:r>
    </w:p>
    <w:p w14:paraId="4A2F97F6" w14:textId="77777777" w:rsidR="008F4742" w:rsidRDefault="008F4742" w:rsidP="008F4742">
      <w:pPr>
        <w:rPr>
          <w:b/>
          <w:bCs/>
        </w:rPr>
      </w:pPr>
      <w:r>
        <w:rPr>
          <w:b/>
          <w:bCs/>
        </w:rPr>
        <w:t>@@@Question 1</w:t>
      </w:r>
      <w:r>
        <w:rPr>
          <w:b/>
          <w:bCs/>
        </w:rPr>
        <w:t>9</w:t>
      </w:r>
    </w:p>
    <w:p w14:paraId="0794876F" w14:textId="6A794A98" w:rsidR="008F4742" w:rsidRPr="008F4742" w:rsidRDefault="008F4742" w:rsidP="008F4742">
      <w:pPr>
        <w:rPr>
          <w:b/>
          <w:bCs/>
        </w:rPr>
      </w:pPr>
      <w:r w:rsidRPr="008F4742">
        <w:rPr>
          <w:b/>
          <w:bCs/>
        </w:rPr>
        <w:t>De ce este necesar un comitet european pentru inteligența artificială și cu ce se va ocupa?</w:t>
      </w:r>
    </w:p>
    <w:p w14:paraId="681C5A94" w14:textId="77777777" w:rsidR="008F4742" w:rsidRPr="008F4742" w:rsidRDefault="008F4742" w:rsidP="008F4742">
      <w:r w:rsidRPr="008F4742">
        <w:t>Comitetul european pentru inteligența artificială este alcătuit din </w:t>
      </w:r>
      <w:r w:rsidRPr="008F4742">
        <w:rPr>
          <w:b/>
          <w:bCs/>
        </w:rPr>
        <w:t>reprezentanți la nivel înalt ai statelor membre</w:t>
      </w:r>
      <w:r w:rsidRPr="008F4742">
        <w:t> și ai Autorității Europene pentru Protecția Datelor. În calitate de consilier principal, Comitetul pentru IA oferă orientări cu privire la toate aspectele legate de politica în domeniul IA, în special cu privire la reglementarea IA, la politica în materie de inovare și excelență și la cooperarea internațională în domeniul IA.</w:t>
      </w:r>
    </w:p>
    <w:p w14:paraId="22CBD4E1" w14:textId="77777777" w:rsidR="008F4742" w:rsidRPr="008F4742" w:rsidRDefault="008F4742" w:rsidP="008F4742">
      <w:r w:rsidRPr="008F4742">
        <w:lastRenderedPageBreak/>
        <w:t>Comitetul pentru IA joacă un rol esențial în asigurarea punerii în aplicare fără probleme, eficace și armonizate a Regulamentului privind IA. Comitetul va servi drept forum în cadrul căruia autoritățile de reglementare în domeniul IA, și anume Oficiul pentru IA, autoritățile naționale și AEPD, pot coordona aplicarea consecventă a Regulamentului privind IA.</w:t>
      </w:r>
    </w:p>
    <w:p w14:paraId="21A1D9B2" w14:textId="77777777" w:rsidR="008F4742" w:rsidRDefault="008F4742" w:rsidP="008F4742">
      <w:pPr>
        <w:rPr>
          <w:b/>
          <w:bCs/>
        </w:rPr>
      </w:pPr>
      <w:r>
        <w:rPr>
          <w:b/>
          <w:bCs/>
        </w:rPr>
        <w:t xml:space="preserve">@@@Question </w:t>
      </w:r>
      <w:r>
        <w:rPr>
          <w:b/>
          <w:bCs/>
        </w:rPr>
        <w:t>20</w:t>
      </w:r>
    </w:p>
    <w:p w14:paraId="00B291E9" w14:textId="3A3F18A9" w:rsidR="008F4742" w:rsidRPr="008F4742" w:rsidRDefault="008F4742" w:rsidP="008F4742">
      <w:pPr>
        <w:rPr>
          <w:b/>
          <w:bCs/>
        </w:rPr>
      </w:pPr>
      <w:r w:rsidRPr="008F4742">
        <w:rPr>
          <w:b/>
          <w:bCs/>
        </w:rPr>
        <w:t>Ce sancțiuni se aplică în cazul nerespectării normelor?</w:t>
      </w:r>
    </w:p>
    <w:p w14:paraId="5D9446C6" w14:textId="77777777" w:rsidR="008F4742" w:rsidRPr="008F4742" w:rsidRDefault="008F4742" w:rsidP="008F4742">
      <w:r w:rsidRPr="008F4742">
        <w:rPr>
          <w:b/>
          <w:bCs/>
        </w:rPr>
        <w:t>Statele membre vor trebui să stabilească sancțiuni eficace, proporționale și disuasive</w:t>
      </w:r>
      <w:r w:rsidRPr="008F4742">
        <w:t> pentru încălcarea normelor privind sistemele de IA.</w:t>
      </w:r>
    </w:p>
    <w:p w14:paraId="1C6BFD70" w14:textId="77777777" w:rsidR="008F4742" w:rsidRPr="008F4742" w:rsidRDefault="008F4742" w:rsidP="008F4742">
      <w:r w:rsidRPr="008F4742">
        <w:t>Regulamentul stabilește praguri care trebuie aplicate:</w:t>
      </w:r>
    </w:p>
    <w:p w14:paraId="75E67904" w14:textId="77777777" w:rsidR="008F4742" w:rsidRPr="008F4742" w:rsidRDefault="008F4742" w:rsidP="008F4742">
      <w:pPr>
        <w:numPr>
          <w:ilvl w:val="0"/>
          <w:numId w:val="27"/>
        </w:numPr>
      </w:pPr>
      <w:r w:rsidRPr="008F4742">
        <w:rPr>
          <w:b/>
          <w:bCs/>
        </w:rPr>
        <w:t>până la 35 de milioane EUR sau 7 %</w:t>
      </w:r>
      <w:r w:rsidRPr="008F4742">
        <w:t> din cifra de afaceri anuală totală înregistrată la nivel mondial în exercițiul financiar anterior (alegându-se cea mai mare dintre cele două sume) pentru </w:t>
      </w:r>
      <w:r w:rsidRPr="008F4742">
        <w:rPr>
          <w:b/>
          <w:bCs/>
        </w:rPr>
        <w:t>nerespectarea prevederilor privind practicile interzise</w:t>
      </w:r>
      <w:r w:rsidRPr="008F4742">
        <w:t> în legătură cu cerințele privind datele;</w:t>
      </w:r>
    </w:p>
    <w:p w14:paraId="25BD8BA9" w14:textId="77777777" w:rsidR="008F4742" w:rsidRPr="008F4742" w:rsidRDefault="008F4742" w:rsidP="008F4742">
      <w:pPr>
        <w:numPr>
          <w:ilvl w:val="0"/>
          <w:numId w:val="27"/>
        </w:numPr>
      </w:pPr>
      <w:r w:rsidRPr="008F4742">
        <w:rPr>
          <w:b/>
          <w:bCs/>
        </w:rPr>
        <w:t>până la 15 milioane EUR sau 3 %</w:t>
      </w:r>
      <w:r w:rsidRPr="008F4742">
        <w:t> din cifra de afaceri anuală totală înregistrată la nivel mondial în exercițiul financiar anterior pentru </w:t>
      </w:r>
      <w:r w:rsidRPr="008F4742">
        <w:rPr>
          <w:b/>
          <w:bCs/>
        </w:rPr>
        <w:t>nerespectarea oricăreia dintre celelalte cerințe</w:t>
      </w:r>
      <w:r w:rsidRPr="008F4742">
        <w:t> sau obligații prevăzute în regulament;</w:t>
      </w:r>
    </w:p>
    <w:p w14:paraId="73A399F3" w14:textId="77777777" w:rsidR="008F4742" w:rsidRPr="008F4742" w:rsidRDefault="008F4742" w:rsidP="008F4742">
      <w:pPr>
        <w:numPr>
          <w:ilvl w:val="0"/>
          <w:numId w:val="27"/>
        </w:numPr>
      </w:pPr>
      <w:r w:rsidRPr="008F4742">
        <w:rPr>
          <w:b/>
          <w:bCs/>
        </w:rPr>
        <w:t>până la 7,5 milioane EUR sau 1,5 %</w:t>
      </w:r>
      <w:r w:rsidRPr="008F4742">
        <w:t> din cifra de afaceri anuală totală înregistrată la nivel mondial în exercițiul financiar anterior pentru </w:t>
      </w:r>
      <w:r w:rsidRPr="008F4742">
        <w:rPr>
          <w:b/>
          <w:bCs/>
        </w:rPr>
        <w:t>furnizarea de informații incorecte, incomplete sau înșelătoare</w:t>
      </w:r>
      <w:r w:rsidRPr="008F4742">
        <w:t> ca răspuns la o cerere a organismelor notificate și a autorităților naționale competente.</w:t>
      </w:r>
    </w:p>
    <w:p w14:paraId="6655EB06" w14:textId="77777777" w:rsidR="008F4742" w:rsidRPr="008F4742" w:rsidRDefault="008F4742" w:rsidP="008F4742">
      <w:pPr>
        <w:numPr>
          <w:ilvl w:val="0"/>
          <w:numId w:val="27"/>
        </w:numPr>
      </w:pPr>
      <w:r w:rsidRPr="008F4742">
        <w:t>Pentru fiecare categorie de încălcări, se aplică pragul cel mai mic dintre cele două cuantumuri pentru IMM-uri și cel mai ridicat pentru alte întreprinderi.</w:t>
      </w:r>
    </w:p>
    <w:p w14:paraId="092626D1" w14:textId="77777777" w:rsidR="008F4742" w:rsidRPr="008F4742" w:rsidRDefault="008F4742" w:rsidP="008F4742">
      <w:r w:rsidRPr="008F4742">
        <w:t>Comisia poate, de asemenea, să asigure respectarea normelor privind furnizorii de modele de IA de uz general prin intermediul unor amenzi, ținând seama de următorul prag:</w:t>
      </w:r>
    </w:p>
    <w:p w14:paraId="17ABC70B" w14:textId="77777777" w:rsidR="008F4742" w:rsidRPr="008F4742" w:rsidRDefault="008F4742" w:rsidP="008F4742">
      <w:pPr>
        <w:numPr>
          <w:ilvl w:val="0"/>
          <w:numId w:val="28"/>
        </w:numPr>
      </w:pPr>
      <w:r w:rsidRPr="008F4742">
        <w:rPr>
          <w:b/>
          <w:bCs/>
        </w:rPr>
        <w:t>până la 15 milioane EUR sau 3 %</w:t>
      </w:r>
      <w:r w:rsidRPr="008F4742">
        <w:t> din cifra de afaceri anuală totală înregistrată la nivel mondial în exercițiul financiar anterior pentru </w:t>
      </w:r>
      <w:r w:rsidRPr="008F4742">
        <w:rPr>
          <w:b/>
          <w:bCs/>
        </w:rPr>
        <w:t>nerespectarea oricăreia dintre obligațiile</w:t>
      </w:r>
      <w:r w:rsidRPr="008F4742">
        <w:t> sau măsurile solicitate de Comisiei în temeiul regulamentului.</w:t>
      </w:r>
    </w:p>
    <w:p w14:paraId="33FF9D6E" w14:textId="77777777" w:rsidR="008F4742" w:rsidRPr="008F4742" w:rsidRDefault="008F4742" w:rsidP="008F4742">
      <w:r w:rsidRPr="008F4742">
        <w:t>Instituțiile, agențiile sau organismele UE ar trebui să conducă prin forța exemplului; prin urmare, acestea vor intra, de asemenea, sub incidența normelor și a eventualelor sancțiuni. Autoritatea Europeană pentru Protecția Datelor le va putea impune amenzi în cazul în care acestea nu respectă normele.</w:t>
      </w:r>
      <w:r w:rsidRPr="008F4742">
        <w:rPr>
          <w:b/>
          <w:bCs/>
        </w:rPr>
        <w:t> </w:t>
      </w:r>
    </w:p>
    <w:p w14:paraId="5C939351" w14:textId="77777777" w:rsidR="008F4742" w:rsidRDefault="008F4742" w:rsidP="008F4742">
      <w:pPr>
        <w:rPr>
          <w:b/>
          <w:bCs/>
        </w:rPr>
      </w:pPr>
      <w:r>
        <w:rPr>
          <w:b/>
          <w:bCs/>
        </w:rPr>
        <w:t xml:space="preserve">@@@Question </w:t>
      </w:r>
      <w:r>
        <w:rPr>
          <w:b/>
          <w:bCs/>
        </w:rPr>
        <w:t>21</w:t>
      </w:r>
    </w:p>
    <w:p w14:paraId="704753C8" w14:textId="61D8FDF5" w:rsidR="008F4742" w:rsidRPr="008F4742" w:rsidRDefault="008F4742" w:rsidP="008F4742">
      <w:pPr>
        <w:rPr>
          <w:b/>
          <w:bCs/>
        </w:rPr>
      </w:pPr>
      <w:r w:rsidRPr="008F4742">
        <w:rPr>
          <w:b/>
          <w:bCs/>
        </w:rPr>
        <w:t>Cum va fi redactat Codul de bune practici privind IA de uz general?</w:t>
      </w:r>
    </w:p>
    <w:p w14:paraId="7B662327" w14:textId="77777777" w:rsidR="008F4742" w:rsidRPr="008F4742" w:rsidRDefault="008F4742" w:rsidP="008F4742">
      <w:r w:rsidRPr="008F4742">
        <w:t>Elaborarea primului cod urmează un proces transparent și favorabil incluziunii. Se va institui o sesiune plenară a Codului de bune practici pentru a facilita procesul iterativ de redactare, care va fi formată din toți furnizorii de modele de IA de uz general interesați și eligibili, din furnizorii din aval care integrează un model de IA de uz general în sistemul lor de IA, din alte organizații din sector, din alte organizații ale părților interesate, cum ar fi organizațiile societății civile sau ale titularilor de drepturi, precum și din mediul academic și din alți experți independenți.</w:t>
      </w:r>
    </w:p>
    <w:p w14:paraId="185F86FB" w14:textId="77777777" w:rsidR="008F4742" w:rsidRPr="008F4742" w:rsidRDefault="008F4742" w:rsidP="008F4742">
      <w:r w:rsidRPr="008F4742">
        <w:t>Oficiul pentru IA a lansat o cerere de exprimare a interesului pentru a participa la elaborarea primului Cod de bune practici. În paralel cu această cerere de exprimare a interesului, se lansează o consultare multipartită pentru a colecta opinii și contribuții de la toate părțile interesate cu privire la primul Cod de bune practici. Răspunsurile și observațiile vor sta la baza primei iterații de redactare a Codului de bune practici. Prin urmare, încă de la început, codul se bazează pe o gamă largă de perspective și expertiză.</w:t>
      </w:r>
    </w:p>
    <w:p w14:paraId="23CA0FBF" w14:textId="77777777" w:rsidR="008F4742" w:rsidRPr="008F4742" w:rsidRDefault="008F4742" w:rsidP="008F4742">
      <w:r w:rsidRPr="008F4742">
        <w:t xml:space="preserve">Sesiunea plenară va fi structurată în patru grupuri de lucru pentru a permite discuții axate pe teme specifice relevante pentru a detalia obligațiile furnizorilor de modele de IA de uz general și de modele de IA de uz general </w:t>
      </w:r>
      <w:r w:rsidRPr="008F4742">
        <w:lastRenderedPageBreak/>
        <w:t>cu risc sistemic. Participanții la sesiunea plenară au libertatea de a alege unul sau mai multe grupuri de lucru la care doresc să participe. Reuniunile se desfășoară exclusiv online.</w:t>
      </w:r>
    </w:p>
    <w:p w14:paraId="19CACD95" w14:textId="77777777" w:rsidR="008F4742" w:rsidRPr="008F4742" w:rsidRDefault="008F4742" w:rsidP="008F4742">
      <w:r w:rsidRPr="008F4742">
        <w:t>Oficiul pentru IA va numi președinți și, după caz, vicepreședinți pentru fiecare dintre cele patru grupuri de lucru ale sesiunii plenare, selectați din rândul experților independenți interesați. Președinții vor sintetiza contribuțiile și observațiile participanților la sesiunea plenară pentru a elabora în mod iterativ primul Cod de bune practici.</w:t>
      </w:r>
    </w:p>
    <w:p w14:paraId="143D93A4" w14:textId="77777777" w:rsidR="008F4742" w:rsidRPr="008F4742" w:rsidRDefault="008F4742" w:rsidP="008F4742">
      <w:r w:rsidRPr="008F4742">
        <w:t>În calitate de destinatari principali ai codului, furnizorii de modele de IA de uz general vor fi invitați la ateliere dedicate pentru a contribui la informarea fiecărei runde iterative de redactare, pe lângă participarea lor la sesiunea plenară.</w:t>
      </w:r>
    </w:p>
    <w:p w14:paraId="1955AB22" w14:textId="77777777" w:rsidR="008F4742" w:rsidRPr="008F4742" w:rsidRDefault="008F4742" w:rsidP="008F4742">
      <w:r w:rsidRPr="008F4742">
        <w:t>După 9 luni, versiunea finală a primului Cod de bune practici va fi prezentată în sesiunea plenară de închidere, care urmează să aibă loc în aprilie, și va fi publicată. Sesiunea plenară de închidere le oferă furnizorilor de modele de IA de uz general posibilitatea de a se exprima dacă intenționează să utilizeze codul. </w:t>
      </w:r>
    </w:p>
    <w:p w14:paraId="6E00A2DA" w14:textId="77777777" w:rsidR="008F4742" w:rsidRDefault="008F4742" w:rsidP="008F4742">
      <w:pPr>
        <w:rPr>
          <w:b/>
          <w:bCs/>
        </w:rPr>
      </w:pPr>
      <w:r>
        <w:rPr>
          <w:b/>
          <w:bCs/>
        </w:rPr>
        <w:t xml:space="preserve">@@@Question </w:t>
      </w:r>
      <w:r>
        <w:rPr>
          <w:b/>
          <w:bCs/>
        </w:rPr>
        <w:t>22</w:t>
      </w:r>
    </w:p>
    <w:p w14:paraId="069305CE" w14:textId="2FFF3E2A" w:rsidR="008F4742" w:rsidRPr="008F4742" w:rsidRDefault="008F4742" w:rsidP="008F4742">
      <w:pPr>
        <w:rPr>
          <w:b/>
          <w:bCs/>
        </w:rPr>
      </w:pPr>
      <w:r w:rsidRPr="008F4742">
        <w:rPr>
          <w:b/>
          <w:bCs/>
        </w:rPr>
        <w:t>Dacă este aprobat, cum servește Codul de bune practici drept instrument central de conformitate pentru furnizorii de modele de IA de uz general ?</w:t>
      </w:r>
    </w:p>
    <w:p w14:paraId="51526A21" w14:textId="77777777" w:rsidR="008F4742" w:rsidRPr="008F4742" w:rsidRDefault="008F4742" w:rsidP="008F4742">
      <w:r w:rsidRPr="008F4742">
        <w:t>La sfârșitul procesului de elaborare a Codului de bune practici, Oficiul pentru IA și Comitetul pentru IA vor evalua caracterul adecvat al codului și își vor publica evaluarea. În urma acestei evaluări, Comisia poate decide să aprobe un cod de bune practici și să îi confere valabilitate generală în cadrul Uniunii prin intermediul unor acte de punere în aplicare. În cazul în care, până la momentul în care regulamentul devine aplicabil, Codul de bune practici nu este considerat adecvat de Oficiul pentru IA, Comisia poate prevedea norme comune pentru punerea în aplicare a obligațiilor relevante.</w:t>
      </w:r>
    </w:p>
    <w:p w14:paraId="61BE59F7" w14:textId="77777777" w:rsidR="008F4742" w:rsidRPr="008F4742" w:rsidRDefault="008F4742" w:rsidP="008F4742">
      <w:r w:rsidRPr="008F4742">
        <w:t>Prin urmare, furnizorii de modele de IA de uz general se pot baza pe Codul de bune practici pentru a demonstra conformitatea cu obligațiile prevăzute în Regulamentul privind IA.</w:t>
      </w:r>
    </w:p>
    <w:p w14:paraId="5E8E3ABC" w14:textId="77777777" w:rsidR="008F4742" w:rsidRPr="008F4742" w:rsidRDefault="008F4742" w:rsidP="008F4742">
      <w:r w:rsidRPr="008F4742">
        <w:t>În conformitate cu Regulamentul privind IA, Codul de bune practici ar trebui să includă obiective, măsuri și, după caz, indicatori-cheie de performanță (ICP).</w:t>
      </w:r>
    </w:p>
    <w:p w14:paraId="11702E9E" w14:textId="77777777" w:rsidR="008F4742" w:rsidRPr="008F4742" w:rsidRDefault="008F4742" w:rsidP="008F4742">
      <w:r w:rsidRPr="008F4742">
        <w:t>Furnizorii care aderă la cod ar trebui să raporteze periodic Oficiului pentru IA cu privire la punerea în aplicare a măsurilor luate și la rezultatele acestora, inclusiv astfel cum sunt măsurate în raport cu indicatorii-cheie de performanță, după caz.</w:t>
      </w:r>
    </w:p>
    <w:p w14:paraId="17B92197" w14:textId="77777777" w:rsidR="008F4742" w:rsidRPr="008F4742" w:rsidRDefault="008F4742" w:rsidP="008F4742">
      <w:r w:rsidRPr="008F4742">
        <w:t>Acest lucru facilitează asigurarea respectării legislației de către Oficiul pentru IA, care se bazează pe competențele conferite Comisiei prin Regulamentul privind IA. Aceasta include capacitatea de a efectua evaluări ale modelelor de IA de uz general, de a solicita informații și măsuri de la furnizorii de modele și de a aplica sancțiuni. </w:t>
      </w:r>
    </w:p>
    <w:p w14:paraId="344A6E8E" w14:textId="77777777" w:rsidR="008F4742" w:rsidRPr="008F4742" w:rsidRDefault="008F4742" w:rsidP="008F4742">
      <w:r w:rsidRPr="008F4742">
        <w:t>După caz, Oficiul pentru IA va încuraja și va facilita revizuirea și adaptarea codului pentru a reflecta progresele tehnologice și de ultimă generație.</w:t>
      </w:r>
    </w:p>
    <w:p w14:paraId="2680091E" w14:textId="77777777" w:rsidR="008F4742" w:rsidRPr="008F4742" w:rsidRDefault="008F4742" w:rsidP="008F4742">
      <w:r w:rsidRPr="008F4742">
        <w:t>Odată ce un standard armonizat este publicat și evaluat ca fiind adecvat pentru a acoperi obligațiile relevante de către Oficiul pentru IA, furnizorii ar trebui să beneficieze de prezumția de conformitate în cazul în care respectă un standard european armonizat.</w:t>
      </w:r>
    </w:p>
    <w:p w14:paraId="18EA7AF9" w14:textId="77777777" w:rsidR="008F4742" w:rsidRPr="008F4742" w:rsidRDefault="008F4742" w:rsidP="008F4742">
      <w:r w:rsidRPr="008F4742">
        <w:t>În plus, furnizorii de modele de IA de uz general ar trebui să poată demonstra conformitatea utilizând mijloace alternative adecvate, dacă nu sunt disponibile coduri de bune practici sau standarde armonizate sau dacă aleg să nu se bazeze pe acestea.</w:t>
      </w:r>
    </w:p>
    <w:p w14:paraId="3E87507A" w14:textId="77777777" w:rsidR="008F4742" w:rsidRDefault="008F4742" w:rsidP="008F4742">
      <w:pPr>
        <w:rPr>
          <w:b/>
          <w:bCs/>
        </w:rPr>
      </w:pPr>
      <w:r>
        <w:rPr>
          <w:b/>
          <w:bCs/>
        </w:rPr>
        <w:t xml:space="preserve">@@@Question </w:t>
      </w:r>
      <w:r>
        <w:rPr>
          <w:b/>
          <w:bCs/>
        </w:rPr>
        <w:t>23</w:t>
      </w:r>
    </w:p>
    <w:p w14:paraId="767C6956" w14:textId="39B3B72F" w:rsidR="008F4742" w:rsidRPr="008F4742" w:rsidRDefault="008F4742" w:rsidP="008F4742">
      <w:pPr>
        <w:rPr>
          <w:b/>
          <w:bCs/>
        </w:rPr>
      </w:pPr>
      <w:r w:rsidRPr="008F4742">
        <w:rPr>
          <w:b/>
          <w:bCs/>
        </w:rPr>
        <w:t>Regulamentul privind IA conține dispoziții privind protecția mediului și sustenabilitatea?</w:t>
      </w:r>
    </w:p>
    <w:p w14:paraId="1DE20201" w14:textId="77777777" w:rsidR="008F4742" w:rsidRPr="008F4742" w:rsidRDefault="008F4742" w:rsidP="008F4742">
      <w:r w:rsidRPr="008F4742">
        <w:t>Obiectivul propunerii privind IA este de a aborda riscurile la adresa siguranței și a drepturilor fundamentale, inclusiv a dreptului fundamental la un nivel înalt de protecție a mediului. Mediul face parte, de asemenea, din interesele legale menționate în mod explicit și protejate.</w:t>
      </w:r>
    </w:p>
    <w:p w14:paraId="02739A49" w14:textId="77777777" w:rsidR="008F4742" w:rsidRPr="008F4742" w:rsidRDefault="008F4742" w:rsidP="008F4742">
      <w:r w:rsidRPr="008F4742">
        <w:lastRenderedPageBreak/>
        <w:t>Comisia este invitată să solicite organizațiilor de standardizare europene să elaboreze un document de standardizare privind procesele de raportare și documentare pentru a îmbunătăți performanța în materie de resurse a sistemelor de IA, cum ar fi reducerea consumului de energie și de alte resurse al sistemului de IA cu grad ridicat de risc pe parcursul ciclului său de viață, precum și privind dezvoltarea eficientă din punct de vedere energetic a modelelor de IA de uz general.</w:t>
      </w:r>
    </w:p>
    <w:p w14:paraId="27F2A5A8" w14:textId="77777777" w:rsidR="008F4742" w:rsidRPr="008F4742" w:rsidRDefault="008F4742" w:rsidP="008F4742">
      <w:r w:rsidRPr="008F4742">
        <w:t>În plus, în termen de doi ani de la data aplicării regulamentului și, ulterior, la fiecare patru ani, Comisia este invitată să prezinte un raport privind evaluarea progreselor înregistrate în ceea ce privește elaborarea de documente de standardizare privind dezvoltarea eficientă din punct de vedere energetic a modelelor de uz general și evaluează necesitatea unor măsuri sau acțiuni suplimentare, inclusiv a unor măsuri sau acțiuni obligatorii.</w:t>
      </w:r>
    </w:p>
    <w:p w14:paraId="22C9EE49" w14:textId="77777777" w:rsidR="008F4742" w:rsidRPr="008F4742" w:rsidRDefault="008F4742" w:rsidP="008F4742">
      <w:r w:rsidRPr="008F4742">
        <w:t>În plus, furnizorii de modele de IA de uz general, care sunt antrenați folosindu-se cantități mari de date și, prin urmare, predispuși la un consum ridicat de energie, au obligația de a publica consumul de energie. În cazul modelelor de IA de uz general cu riscuri sistemice, trebuie evaluată și eficiența energetică.</w:t>
      </w:r>
    </w:p>
    <w:p w14:paraId="37C71F3E" w14:textId="77777777" w:rsidR="008F4742" w:rsidRPr="008F4742" w:rsidRDefault="008F4742" w:rsidP="008F4742">
      <w:r w:rsidRPr="008F4742">
        <w:t>Comisia este împuternicită să elaboreze o metodologie de măsurare adecvată și comparabilă pentru aceste obligații de informare.</w:t>
      </w:r>
    </w:p>
    <w:p w14:paraId="06D8E648" w14:textId="77777777" w:rsidR="008F4742" w:rsidRDefault="008F4742" w:rsidP="008F4742">
      <w:pPr>
        <w:rPr>
          <w:b/>
          <w:bCs/>
        </w:rPr>
      </w:pPr>
      <w:r>
        <w:rPr>
          <w:b/>
          <w:bCs/>
        </w:rPr>
        <w:t xml:space="preserve">@@@Question </w:t>
      </w:r>
      <w:r>
        <w:rPr>
          <w:b/>
          <w:bCs/>
        </w:rPr>
        <w:t>24</w:t>
      </w:r>
    </w:p>
    <w:p w14:paraId="6D065441" w14:textId="03E1C1EA" w:rsidR="008F4742" w:rsidRPr="008F4742" w:rsidRDefault="008F4742" w:rsidP="008F4742">
      <w:pPr>
        <w:rPr>
          <w:b/>
          <w:bCs/>
        </w:rPr>
      </w:pPr>
      <w:r w:rsidRPr="008F4742">
        <w:rPr>
          <w:b/>
          <w:bCs/>
        </w:rPr>
        <w:t>Cum pot noile norme să sprijine inovarea?</w:t>
      </w:r>
    </w:p>
    <w:p w14:paraId="26DB2D70" w14:textId="77777777" w:rsidR="008F4742" w:rsidRPr="008F4742" w:rsidRDefault="008F4742" w:rsidP="008F4742">
      <w:r w:rsidRPr="008F4742">
        <w:t>Cadrul de reglementare poate să îmbunătățească adoptarea IA în două moduri. Pe de o parte, o încredere sporită a utilizatorilor va duce la creșterea cererii de IA utilizată de întreprinderi și de autoritățile publice. Pe de altă parte, prin îmbunătățirea securității juridice și prin armonizarea normelor, furnizorii de IA vor avea acces la piețe mai mari, ce oferă produse pe care utilizatorii și consumatorii le apreciază și le achiziționează. Normele se vor aplica numai acolo unde este strict necesar și într-un mod care să reducă la minimum sarcina suportată de operatorii economici, cu o structură de guvernanță simplă.</w:t>
      </w:r>
    </w:p>
    <w:p w14:paraId="416AE3D9" w14:textId="77777777" w:rsidR="008F4742" w:rsidRPr="008F4742" w:rsidRDefault="008F4742" w:rsidP="008F4742">
      <w:r w:rsidRPr="008F4742">
        <w:t>Regulamentul privind IA permite, de asemenea, crearea unor </w:t>
      </w:r>
      <w:r w:rsidRPr="008F4742">
        <w:rPr>
          <w:b/>
          <w:bCs/>
        </w:rPr>
        <w:t>spații de testare în materie de reglementare</w:t>
      </w:r>
      <w:r w:rsidRPr="008F4742">
        <w:t> și </w:t>
      </w:r>
      <w:r w:rsidRPr="008F4742">
        <w:rPr>
          <w:b/>
          <w:bCs/>
        </w:rPr>
        <w:t>testarea în condiții reale</w:t>
      </w:r>
      <w:r w:rsidRPr="008F4742">
        <w:t>, care oferă un mediu controlat pentru testarea tehnologiilor inovatoare pentru o perioadă limitată de timp, încurajând astfel inovarea din partea întreprinderilor, a IMM-urilor și a întreprinderilor nou-înființate în conformitate cu Regulamentul privind IA. Acestea, împreună cu alte măsuri, cum ar fi </w:t>
      </w:r>
      <w:r w:rsidRPr="008F4742">
        <w:rPr>
          <w:b/>
          <w:bCs/>
        </w:rPr>
        <w:t>rețelele</w:t>
      </w:r>
      <w:r w:rsidRPr="008F4742">
        <w:t> suplimentare </w:t>
      </w:r>
      <w:r w:rsidRPr="008F4742">
        <w:rPr>
          <w:b/>
          <w:bCs/>
        </w:rPr>
        <w:t>de centre de excelență în domeniul IA</w:t>
      </w:r>
      <w:r w:rsidRPr="008F4742">
        <w:t>, </w:t>
      </w:r>
      <w:r w:rsidRPr="008F4742">
        <w:rPr>
          <w:b/>
          <w:bCs/>
        </w:rPr>
        <w:t>parteneriatul public-privat privind inteligența artificială, datele și robotica</w:t>
      </w:r>
      <w:r w:rsidRPr="008F4742">
        <w:t> și accesul la </w:t>
      </w:r>
      <w:r w:rsidRPr="008F4742">
        <w:rPr>
          <w:b/>
          <w:bCs/>
        </w:rPr>
        <w:t>centrele de inovare digitală</w:t>
      </w:r>
      <w:r w:rsidRPr="008F4742">
        <w:t> și la </w:t>
      </w:r>
      <w:r w:rsidRPr="008F4742">
        <w:rPr>
          <w:b/>
          <w:bCs/>
        </w:rPr>
        <w:t>unitățile de testare și experimentare</w:t>
      </w:r>
      <w:r w:rsidRPr="008F4742">
        <w:t> vor contribui la crearea condițiilor-cadru adecvate pentru ca întreprinderile să dezvolte și să implementeze IA.</w:t>
      </w:r>
    </w:p>
    <w:p w14:paraId="3CB3E495" w14:textId="77777777" w:rsidR="008F4742" w:rsidRPr="008F4742" w:rsidRDefault="008F4742" w:rsidP="008F4742">
      <w:r w:rsidRPr="008F4742">
        <w:t>Testarea în condiții reale a sistemelor de IA cu risc ridicat poate fi efectuată pentru o perioadă de maximum 6 luni (care poate fi prelungită cu încă 6 luni). Înainte de testare, trebuie elaborat un plan care să fie prezentat autorității de supraveghere a pieței, care trebuie să aprobe planul și condițiile specifice de testare, cu aprobare tacită implicită în cazul în care nu s-a dat niciun răspuns în termen de 30 de zile. Testarea poate face obiectul unor inspecții neanunțate de către autoritate.</w:t>
      </w:r>
    </w:p>
    <w:p w14:paraId="5C54FF6B" w14:textId="77777777" w:rsidR="008F4742" w:rsidRPr="008F4742" w:rsidRDefault="008F4742" w:rsidP="008F4742">
      <w:r w:rsidRPr="008F4742">
        <w:t>Testarea în condiții reale poate fi efectuată numai cu respectarea unor garanții specifice, de exemplu utilizatorii sistemelor care fac obiectul testării în condiții reale trebuie să își dea consimțământul în cunoștință de cauză, testarea nu trebuie să aibă niciun efect negativ asupra lor, rezultatele trebuie să fie reversibile sau să poată fi ignorate, iar datele lor trebuie șterse după încheierea testării. O protecție specială trebuie acordată grupurilor vulnerabile, de exemplu din cauza vârstei, a unui handicap fizic sau mental.</w:t>
      </w:r>
    </w:p>
    <w:p w14:paraId="48D1D73D" w14:textId="77777777" w:rsidR="008F4742" w:rsidRDefault="008F4742" w:rsidP="008F4742">
      <w:pPr>
        <w:rPr>
          <w:b/>
          <w:bCs/>
        </w:rPr>
      </w:pPr>
      <w:r>
        <w:rPr>
          <w:b/>
          <w:bCs/>
        </w:rPr>
        <w:t xml:space="preserve">@@@Question </w:t>
      </w:r>
      <w:r>
        <w:rPr>
          <w:b/>
          <w:bCs/>
        </w:rPr>
        <w:t>25</w:t>
      </w:r>
    </w:p>
    <w:p w14:paraId="43D79D2A" w14:textId="51947ED0" w:rsidR="008F4742" w:rsidRPr="008F4742" w:rsidRDefault="008F4742" w:rsidP="008F4742">
      <w:pPr>
        <w:rPr>
          <w:b/>
          <w:bCs/>
        </w:rPr>
      </w:pPr>
      <w:r w:rsidRPr="008F4742">
        <w:rPr>
          <w:b/>
          <w:bCs/>
        </w:rPr>
        <w:t>Ce rol joacă Pactul privind IA în punerea în aplicare a Regulamentului privind IA?</w:t>
      </w:r>
    </w:p>
    <w:p w14:paraId="41B5204F" w14:textId="77777777" w:rsidR="008F4742" w:rsidRPr="008F4742" w:rsidRDefault="008F4742" w:rsidP="008F4742">
      <w:r w:rsidRPr="008F4742">
        <w:t>Inițiat de comisarul Breton în mai 2023, Pactul privind IA urmărește să consolideze colaborarea dintre Oficiul pentru IA și organizații (pilonul I) și să încurajeze angajamentul voluntar al sectorului de a începe punerea în aplicare a cerințelor Regulamentului privind IA înainte de termenul legal (pilonul II).</w:t>
      </w:r>
    </w:p>
    <w:p w14:paraId="5CA55E8C" w14:textId="77777777" w:rsidR="008F4742" w:rsidRPr="008F4742" w:rsidRDefault="008F4742" w:rsidP="008F4742">
      <w:r w:rsidRPr="008F4742">
        <w:lastRenderedPageBreak/>
        <w:t>În special, în cadrul pilonului I, participanții vor contribui la crearea unei comunități colaborative, împărtășind experiențele și cunoștințele lor. Aceasta include ateliere organizate de Oficiul pentru IA, care le oferă participanților o mai bună înțelegere a Regulamentului privind IA, a responsabilităților acestora și a modului de pregătire pentru punerea sa în aplicare. La rândul său, Oficiul pentru IA poate colecta informații cu privire la cele mai bune practici și la provocările cu care se confruntă participanții.</w:t>
      </w:r>
    </w:p>
    <w:p w14:paraId="4F29179F" w14:textId="77777777" w:rsidR="008F4742" w:rsidRPr="008F4742" w:rsidRDefault="008F4742" w:rsidP="008F4742">
      <w:r w:rsidRPr="008F4742">
        <w:t>În cadrul pilonului II, organizațiile sunt încurajate să divulge în mod proactiv procesele și practicile pe care le pun în aplicare pentru a anticipa conformitatea, prin angajamente voluntare. Angajamentele sunt concepute ca „declarații de angajament” și vor conține acțiuni (planificate sau în curs de desfășurare) pentru a îndeplini unele dintre cerințele Regulamentului privind IA.</w:t>
      </w:r>
    </w:p>
    <w:p w14:paraId="767C04C7" w14:textId="77777777" w:rsidR="008F4742" w:rsidRPr="008F4742" w:rsidRDefault="008F4742" w:rsidP="008F4742">
      <w:r w:rsidRPr="008F4742">
        <w:t>Majoritatea normelor din Regulamentul privind IA (de exemplu, unele cerințe privind sistemele de IA cu grad ridicat de risc) se vor aplica la sfârșitul unei perioade de tranziție (și anume, intervalul de timp dintre intrarea în vigoare și data aplicabilității).</w:t>
      </w:r>
    </w:p>
    <w:p w14:paraId="0ED03437" w14:textId="77777777" w:rsidR="008F4742" w:rsidRPr="008F4742" w:rsidRDefault="008F4742" w:rsidP="008F4742">
      <w:r w:rsidRPr="008F4742">
        <w:t>În acest context și în cadrul Pactului privind IA, Oficiul pentru IA invită toate organizațiile să anticipeze și să pună în aplicare în mod proactiv unele dintre dispozițiile-cheie ale Regulamentului privind IA, cu scopul de a atenua riscurile pentru sănătate, siguranță și drepturile fundamentale cât mai curând posibil.</w:t>
      </w:r>
    </w:p>
    <w:p w14:paraId="646FE770" w14:textId="77777777" w:rsidR="008F4742" w:rsidRPr="008F4742" w:rsidRDefault="008F4742" w:rsidP="008F4742">
      <w:r w:rsidRPr="008F4742">
        <w:t>Peste 700 de organizații și-au exprimat deja interesul de a se alătura inițiativei Pactului privind IA, în urma unei cereri lansate în noiembrie 2023. O primă sesiune de informare a avut loc online la 6 mai, cu 300 de participanți. Semnarea oficială a angajamentelor voluntare este planificată pentru toamna anului 2024. În prima săptămână a lunii septembrie va avea loc un atelier referitor la Pactul privind IA.</w:t>
      </w:r>
    </w:p>
    <w:p w14:paraId="74E52DB5" w14:textId="77777777" w:rsidR="008F4742" w:rsidRDefault="008F4742" w:rsidP="008F4742">
      <w:pPr>
        <w:rPr>
          <w:b/>
          <w:bCs/>
        </w:rPr>
      </w:pPr>
      <w:r>
        <w:rPr>
          <w:b/>
          <w:bCs/>
        </w:rPr>
        <w:t xml:space="preserve">@@@Question </w:t>
      </w:r>
      <w:r>
        <w:rPr>
          <w:b/>
          <w:bCs/>
        </w:rPr>
        <w:t>26</w:t>
      </w:r>
    </w:p>
    <w:p w14:paraId="340E9C23" w14:textId="6F143293" w:rsidR="008F4742" w:rsidRPr="008F4742" w:rsidRDefault="008F4742" w:rsidP="008F4742">
      <w:pPr>
        <w:rPr>
          <w:b/>
          <w:bCs/>
        </w:rPr>
      </w:pPr>
      <w:r w:rsidRPr="008F4742">
        <w:rPr>
          <w:b/>
          <w:bCs/>
        </w:rPr>
        <w:t>Care este dimensiunea internațională a abordării UE?</w:t>
      </w:r>
    </w:p>
    <w:p w14:paraId="2F88CC7F" w14:textId="77777777" w:rsidR="008F4742" w:rsidRPr="008F4742" w:rsidRDefault="008F4742" w:rsidP="008F4742">
      <w:r w:rsidRPr="008F4742">
        <w:t>Consecințele și provocările IA depășesc frontierele; prin urmare, cooperarea internațională este importantă. Oficiul pentru IA este responsabil de implicarea internațională a Uniunii Europene în domeniul IA, pe baza Regulamentului privind IA și a Planului coordonat privind IA. UE urmărește să promoveze gestionarea responsabilă și buna guvernanță a IA în colaborare cu partenerii internaționali și în conformitate cu sistemul multilateral bazat pe norme și cu valorile pe care le susține.</w:t>
      </w:r>
    </w:p>
    <w:p w14:paraId="2E19FF8D" w14:textId="77777777" w:rsidR="008F4742" w:rsidRPr="008F4742" w:rsidRDefault="008F4742" w:rsidP="008F4742">
      <w:r w:rsidRPr="008F4742">
        <w:t>UE se angajează la nivel bilateral și multilateral să promoveze o IA de încredere, centrată pe factorul uman și etică. În consecință, UE este implicată în forumuri multilaterale în care se discută despre IA – în special G7, G20, OCDE, Consiliul Europei, Parteneriatul mondial privind IA și Organizația Națiunilor Unite – și are legături bilaterale strânse, de exemplu cu Canada, SUA, India, Japonia, Coreea de Sud, Singapore și regiunea Americii Latine și a Caraibilor.</w:t>
      </w:r>
    </w:p>
    <w:p w14:paraId="4DFF0DB0" w14:textId="77777777" w:rsidR="00BA3C65" w:rsidRPr="008F4742" w:rsidRDefault="00BA3C65" w:rsidP="008F4742"/>
    <w:sectPr w:rsidR="00BA3C65" w:rsidRPr="008F4742" w:rsidSect="00BD0BC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43815"/>
    <w:multiLevelType w:val="multilevel"/>
    <w:tmpl w:val="556C84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48C129E"/>
    <w:multiLevelType w:val="multilevel"/>
    <w:tmpl w:val="CF928F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8011ECD"/>
    <w:multiLevelType w:val="multilevel"/>
    <w:tmpl w:val="CD9438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FB4650B"/>
    <w:multiLevelType w:val="multilevel"/>
    <w:tmpl w:val="39B8D5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48D68D6"/>
    <w:multiLevelType w:val="multilevel"/>
    <w:tmpl w:val="3336FC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63B5DF7"/>
    <w:multiLevelType w:val="multilevel"/>
    <w:tmpl w:val="21DC5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6984E87"/>
    <w:multiLevelType w:val="multilevel"/>
    <w:tmpl w:val="971CA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3F90BAE"/>
    <w:multiLevelType w:val="multilevel"/>
    <w:tmpl w:val="7BDE5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8184224"/>
    <w:multiLevelType w:val="multilevel"/>
    <w:tmpl w:val="24D696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1A17837"/>
    <w:multiLevelType w:val="multilevel"/>
    <w:tmpl w:val="682263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45BD27EC"/>
    <w:multiLevelType w:val="multilevel"/>
    <w:tmpl w:val="6E6A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B4250"/>
    <w:multiLevelType w:val="multilevel"/>
    <w:tmpl w:val="68865B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6961AB2"/>
    <w:multiLevelType w:val="multilevel"/>
    <w:tmpl w:val="C1C2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90266"/>
    <w:multiLevelType w:val="multilevel"/>
    <w:tmpl w:val="3DB24A6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8787128"/>
    <w:multiLevelType w:val="multilevel"/>
    <w:tmpl w:val="A1B2BE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492B31C9"/>
    <w:multiLevelType w:val="multilevel"/>
    <w:tmpl w:val="4FAC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D70CAF"/>
    <w:multiLevelType w:val="multilevel"/>
    <w:tmpl w:val="6D6EAB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C79043F"/>
    <w:multiLevelType w:val="multilevel"/>
    <w:tmpl w:val="06A417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521E0796"/>
    <w:multiLevelType w:val="multilevel"/>
    <w:tmpl w:val="6C08F2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58A632E4"/>
    <w:multiLevelType w:val="multilevel"/>
    <w:tmpl w:val="25266B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9A31C47"/>
    <w:multiLevelType w:val="multilevel"/>
    <w:tmpl w:val="F21E0D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AC04D8F"/>
    <w:multiLevelType w:val="multilevel"/>
    <w:tmpl w:val="351E06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71C5863"/>
    <w:multiLevelType w:val="multilevel"/>
    <w:tmpl w:val="3032693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9D96CA5"/>
    <w:multiLevelType w:val="multilevel"/>
    <w:tmpl w:val="6C543B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5C54AB0"/>
    <w:multiLevelType w:val="multilevel"/>
    <w:tmpl w:val="1F16F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7CA404D"/>
    <w:multiLevelType w:val="multilevel"/>
    <w:tmpl w:val="043E1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78313CAD"/>
    <w:multiLevelType w:val="multilevel"/>
    <w:tmpl w:val="04FEF9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795C237E"/>
    <w:multiLevelType w:val="multilevel"/>
    <w:tmpl w:val="B53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790761">
    <w:abstractNumId w:val="25"/>
  </w:num>
  <w:num w:numId="2" w16cid:durableId="1720544578">
    <w:abstractNumId w:val="22"/>
  </w:num>
  <w:num w:numId="3" w16cid:durableId="840657648">
    <w:abstractNumId w:val="11"/>
  </w:num>
  <w:num w:numId="4" w16cid:durableId="492113420">
    <w:abstractNumId w:val="9"/>
  </w:num>
  <w:num w:numId="5" w16cid:durableId="287393634">
    <w:abstractNumId w:val="0"/>
  </w:num>
  <w:num w:numId="6" w16cid:durableId="2007392087">
    <w:abstractNumId w:val="10"/>
  </w:num>
  <w:num w:numId="7" w16cid:durableId="1482503198">
    <w:abstractNumId w:val="15"/>
  </w:num>
  <w:num w:numId="8" w16cid:durableId="410663564">
    <w:abstractNumId w:val="5"/>
  </w:num>
  <w:num w:numId="9" w16cid:durableId="1787920247">
    <w:abstractNumId w:val="21"/>
  </w:num>
  <w:num w:numId="10" w16cid:durableId="1475414574">
    <w:abstractNumId w:val="19"/>
  </w:num>
  <w:num w:numId="11" w16cid:durableId="129329864">
    <w:abstractNumId w:val="6"/>
  </w:num>
  <w:num w:numId="12" w16cid:durableId="1672827605">
    <w:abstractNumId w:val="17"/>
  </w:num>
  <w:num w:numId="13" w16cid:durableId="1812599076">
    <w:abstractNumId w:val="26"/>
  </w:num>
  <w:num w:numId="14" w16cid:durableId="285042001">
    <w:abstractNumId w:val="18"/>
  </w:num>
  <w:num w:numId="15" w16cid:durableId="711004302">
    <w:abstractNumId w:val="4"/>
  </w:num>
  <w:num w:numId="16" w16cid:durableId="1870215422">
    <w:abstractNumId w:val="13"/>
  </w:num>
  <w:num w:numId="17" w16cid:durableId="913391281">
    <w:abstractNumId w:val="7"/>
  </w:num>
  <w:num w:numId="18" w16cid:durableId="22101244">
    <w:abstractNumId w:val="14"/>
  </w:num>
  <w:num w:numId="19" w16cid:durableId="2054041255">
    <w:abstractNumId w:val="16"/>
  </w:num>
  <w:num w:numId="20" w16cid:durableId="1086536305">
    <w:abstractNumId w:val="27"/>
  </w:num>
  <w:num w:numId="21" w16cid:durableId="995912944">
    <w:abstractNumId w:val="12"/>
  </w:num>
  <w:num w:numId="22" w16cid:durableId="1921475667">
    <w:abstractNumId w:val="24"/>
  </w:num>
  <w:num w:numId="23" w16cid:durableId="1345547074">
    <w:abstractNumId w:val="3"/>
  </w:num>
  <w:num w:numId="24" w16cid:durableId="1851019723">
    <w:abstractNumId w:val="1"/>
  </w:num>
  <w:num w:numId="25" w16cid:durableId="1091044870">
    <w:abstractNumId w:val="2"/>
  </w:num>
  <w:num w:numId="26" w16cid:durableId="1816486837">
    <w:abstractNumId w:val="8"/>
  </w:num>
  <w:num w:numId="27" w16cid:durableId="1577085680">
    <w:abstractNumId w:val="23"/>
  </w:num>
  <w:num w:numId="28" w16cid:durableId="88880995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76F"/>
    <w:rsid w:val="0018378C"/>
    <w:rsid w:val="00187549"/>
    <w:rsid w:val="002D0A3E"/>
    <w:rsid w:val="00372FD7"/>
    <w:rsid w:val="006A607C"/>
    <w:rsid w:val="007D638A"/>
    <w:rsid w:val="008913EE"/>
    <w:rsid w:val="008F4742"/>
    <w:rsid w:val="00BA3C65"/>
    <w:rsid w:val="00BC076F"/>
    <w:rsid w:val="00BD0BCE"/>
    <w:rsid w:val="00CB1035"/>
    <w:rsid w:val="00D00EAF"/>
    <w:rsid w:val="00E939E0"/>
    <w:rsid w:val="00F446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BA99D"/>
  <w15:chartTrackingRefBased/>
  <w15:docId w15:val="{2D4D6131-6F7C-4D5B-A87B-93773824D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76F"/>
    <w:rPr>
      <w:rFonts w:eastAsiaTheme="majorEastAsia" w:cstheme="majorBidi"/>
      <w:color w:val="272727" w:themeColor="text1" w:themeTint="D8"/>
    </w:rPr>
  </w:style>
  <w:style w:type="paragraph" w:styleId="Title">
    <w:name w:val="Title"/>
    <w:basedOn w:val="Normal"/>
    <w:next w:val="Normal"/>
    <w:link w:val="TitleChar"/>
    <w:uiPriority w:val="10"/>
    <w:qFormat/>
    <w:rsid w:val="00BC0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76F"/>
    <w:pPr>
      <w:spacing w:before="160"/>
      <w:jc w:val="center"/>
    </w:pPr>
    <w:rPr>
      <w:i/>
      <w:iCs/>
      <w:color w:val="404040" w:themeColor="text1" w:themeTint="BF"/>
    </w:rPr>
  </w:style>
  <w:style w:type="character" w:customStyle="1" w:styleId="QuoteChar">
    <w:name w:val="Quote Char"/>
    <w:basedOn w:val="DefaultParagraphFont"/>
    <w:link w:val="Quote"/>
    <w:uiPriority w:val="29"/>
    <w:rsid w:val="00BC076F"/>
    <w:rPr>
      <w:i/>
      <w:iCs/>
      <w:color w:val="404040" w:themeColor="text1" w:themeTint="BF"/>
    </w:rPr>
  </w:style>
  <w:style w:type="paragraph" w:styleId="ListParagraph">
    <w:name w:val="List Paragraph"/>
    <w:basedOn w:val="Normal"/>
    <w:uiPriority w:val="34"/>
    <w:qFormat/>
    <w:rsid w:val="00BC076F"/>
    <w:pPr>
      <w:ind w:left="720"/>
      <w:contextualSpacing/>
    </w:pPr>
  </w:style>
  <w:style w:type="character" w:styleId="IntenseEmphasis">
    <w:name w:val="Intense Emphasis"/>
    <w:basedOn w:val="DefaultParagraphFont"/>
    <w:uiPriority w:val="21"/>
    <w:qFormat/>
    <w:rsid w:val="00BC076F"/>
    <w:rPr>
      <w:i/>
      <w:iCs/>
      <w:color w:val="0F4761" w:themeColor="accent1" w:themeShade="BF"/>
    </w:rPr>
  </w:style>
  <w:style w:type="paragraph" w:styleId="IntenseQuote">
    <w:name w:val="Intense Quote"/>
    <w:basedOn w:val="Normal"/>
    <w:next w:val="Normal"/>
    <w:link w:val="IntenseQuoteChar"/>
    <w:uiPriority w:val="30"/>
    <w:qFormat/>
    <w:rsid w:val="00BC0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76F"/>
    <w:rPr>
      <w:i/>
      <w:iCs/>
      <w:color w:val="0F4761" w:themeColor="accent1" w:themeShade="BF"/>
    </w:rPr>
  </w:style>
  <w:style w:type="character" w:styleId="IntenseReference">
    <w:name w:val="Intense Reference"/>
    <w:basedOn w:val="DefaultParagraphFont"/>
    <w:uiPriority w:val="32"/>
    <w:qFormat/>
    <w:rsid w:val="00BC07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668703">
      <w:bodyDiv w:val="1"/>
      <w:marLeft w:val="0"/>
      <w:marRight w:val="0"/>
      <w:marTop w:val="0"/>
      <w:marBottom w:val="0"/>
      <w:divBdr>
        <w:top w:val="none" w:sz="0" w:space="0" w:color="auto"/>
        <w:left w:val="none" w:sz="0" w:space="0" w:color="auto"/>
        <w:bottom w:val="none" w:sz="0" w:space="0" w:color="auto"/>
        <w:right w:val="none" w:sz="0" w:space="0" w:color="auto"/>
      </w:divBdr>
    </w:div>
    <w:div w:id="615136032">
      <w:bodyDiv w:val="1"/>
      <w:marLeft w:val="0"/>
      <w:marRight w:val="0"/>
      <w:marTop w:val="0"/>
      <w:marBottom w:val="0"/>
      <w:divBdr>
        <w:top w:val="none" w:sz="0" w:space="0" w:color="auto"/>
        <w:left w:val="none" w:sz="0" w:space="0" w:color="auto"/>
        <w:bottom w:val="none" w:sz="0" w:space="0" w:color="auto"/>
        <w:right w:val="none" w:sz="0" w:space="0" w:color="auto"/>
      </w:divBdr>
    </w:div>
    <w:div w:id="1594121762">
      <w:bodyDiv w:val="1"/>
      <w:marLeft w:val="0"/>
      <w:marRight w:val="0"/>
      <w:marTop w:val="0"/>
      <w:marBottom w:val="0"/>
      <w:divBdr>
        <w:top w:val="none" w:sz="0" w:space="0" w:color="auto"/>
        <w:left w:val="none" w:sz="0" w:space="0" w:color="auto"/>
        <w:bottom w:val="none" w:sz="0" w:space="0" w:color="auto"/>
        <w:right w:val="none" w:sz="0" w:space="0" w:color="auto"/>
      </w:divBdr>
    </w:div>
    <w:div w:id="208124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12</Pages>
  <Words>6713</Words>
  <Characters>38270</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Antonis</dc:creator>
  <cp:keywords/>
  <dc:description/>
  <cp:lastModifiedBy>Antonis</cp:lastModifiedBy>
  <cp:revision>5</cp:revision>
  <dcterms:created xsi:type="dcterms:W3CDTF">2024-08-31T16:57:00Z</dcterms:created>
  <dcterms:modified xsi:type="dcterms:W3CDTF">2024-09-01T18:52:00Z</dcterms:modified>
</cp:coreProperties>
</file>