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NOTE DE CALCUL — IMPORTATION DE MATÉRIEL AGRICOLE ZENO (CHINE)</w:t>
      </w:r>
    </w:p>
    <w:p>
      <w:r>
        <w:rPr>
          <w:b/>
        </w:rPr>
        <w:t>MERCURE SARL — Service Commercial — août 2026</w:t>
      </w:r>
    </w:p>
    <w:p>
      <w:r>
        <w:rPr>
          <w:b/>
        </w:rPr>
        <w:t>Fournisseur :</w:t>
      </w:r>
      <w:r>
        <w:t xml:space="preserve"> ZHENGZHOU ZENO MACHINERY CO., LTD (Henan, Chine) — cotation du 19 août 2026</w:t>
      </w:r>
    </w:p>
    <w:p>
      <w:r>
        <w:rPr>
          <w:b/>
        </w:rPr>
        <w:t>Incoterm :</w:t>
      </w:r>
      <w:r>
        <w:t xml:space="preserve"> FOB Qingdao — </w:t>
      </w:r>
      <w:r>
        <w:rPr>
          <w:b/>
        </w:rPr>
        <w:t>MOQ :</w:t>
      </w:r>
      <w:r>
        <w:t xml:space="preserve"> 10 unités par modèle — </w:t>
      </w:r>
      <w:r>
        <w:rPr>
          <w:b/>
        </w:rPr>
        <w:t>Délai fabrication :</w:t>
      </w:r>
      <w:r>
        <w:t xml:space="preserve"> 15 jours</w:t>
      </w:r>
    </w:p>
    <w:p>
      <w:r>
        <w:rPr>
          <w:b/>
        </w:rPr>
        <w:t>Paiement :</w:t>
      </w:r>
      <w:r>
        <w:t xml:space="preserve"> 50 % d'acompte TT, solde avant expédition — </w:t>
      </w:r>
      <w:r>
        <w:rPr>
          <w:b/>
        </w:rPr>
        <w:t>Garantie :</w:t>
      </w:r>
      <w:r>
        <w:t xml:space="preserve"> 12 mois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1. COMMANDE DE RÉFÉRENCE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b/>
              </w:rPr>
              <w:t>Modèle</w:t>
            </w:r>
          </w:p>
        </w:tc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b/>
              </w:rPr>
              <w:t>Désignation</w:t>
            </w:r>
          </w:p>
        </w:tc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b/>
              </w:rPr>
              <w:t>Qté</w:t>
            </w:r>
          </w:p>
        </w:tc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b/>
              </w:rPr>
              <w:t>PU FOB (USD)</w:t>
            </w:r>
          </w:p>
        </w:tc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b/>
              </w:rPr>
              <w:t>FOB total (USD)</w:t>
            </w:r>
          </w:p>
        </w:tc>
      </w:tr>
      <w:tr>
        <w:tc>
          <w:tcPr>
            <w:tcW w:type="dxa" w:w="1949"/>
          </w:tcPr>
          <w:p>
            <w:r/>
            <w:r>
              <w:t>ZNST400</w:t>
            </w:r>
          </w:p>
        </w:tc>
        <w:tc>
          <w:tcPr>
            <w:tcW w:type="dxa" w:w="1949"/>
          </w:tcPr>
          <w:p>
            <w:r/>
            <w:r>
              <w:t>Batteuse multifonction à céréales, diesel 6 CV, 400–600 kg/h</w:t>
            </w:r>
          </w:p>
        </w:tc>
        <w:tc>
          <w:tcPr>
            <w:tcW w:type="dxa" w:w="1949"/>
          </w:tcPr>
          <w:p>
            <w:r/>
            <w:r>
              <w:t>10</w:t>
            </w:r>
          </w:p>
        </w:tc>
        <w:tc>
          <w:tcPr>
            <w:tcW w:type="dxa" w:w="1949"/>
          </w:tcPr>
          <w:p>
            <w:r/>
            <w:r>
              <w:t>435</w:t>
            </w:r>
          </w:p>
        </w:tc>
        <w:tc>
          <w:tcPr>
            <w:tcW w:type="dxa" w:w="1949"/>
          </w:tcPr>
          <w:p>
            <w:r/>
            <w:r>
              <w:t>4 350</w:t>
            </w:r>
          </w:p>
        </w:tc>
      </w:tr>
      <w:tr>
        <w:tc>
          <w:tcPr>
            <w:tcW w:type="dxa" w:w="1949"/>
          </w:tcPr>
          <w:p>
            <w:r/>
            <w:r>
              <w:t>ZNPS-1</w:t>
            </w:r>
          </w:p>
        </w:tc>
        <w:tc>
          <w:tcPr>
            <w:tcW w:type="dxa" w:w="1949"/>
          </w:tcPr>
          <w:p>
            <w:r/>
            <w:r>
              <w:t>Décortiqueuse d'arachide manuelle, 40–80 kg/h</w:t>
            </w:r>
          </w:p>
        </w:tc>
        <w:tc>
          <w:tcPr>
            <w:tcW w:type="dxa" w:w="1949"/>
          </w:tcPr>
          <w:p>
            <w:r/>
            <w:r>
              <w:t>10</w:t>
            </w:r>
          </w:p>
        </w:tc>
        <w:tc>
          <w:tcPr>
            <w:tcW w:type="dxa" w:w="1949"/>
          </w:tcPr>
          <w:p>
            <w:r/>
            <w:r>
              <w:t>87</w:t>
            </w:r>
          </w:p>
        </w:tc>
        <w:tc>
          <w:tcPr>
            <w:tcW w:type="dxa" w:w="1949"/>
          </w:tcPr>
          <w:p>
            <w:r/>
            <w:r>
              <w:t>870</w:t>
            </w:r>
          </w:p>
        </w:tc>
      </w:tr>
      <w:tr>
        <w:tc>
          <w:tcPr>
            <w:tcW w:type="dxa" w:w="1949"/>
          </w:tcPr>
          <w:p>
            <w:r/>
            <w:r>
              <w:t>ZNGQ360</w:t>
            </w:r>
          </w:p>
        </w:tc>
        <w:tc>
          <w:tcPr>
            <w:tcW w:type="dxa" w:w="1949"/>
          </w:tcPr>
          <w:p>
            <w:r/>
            <w:r>
              <w:t>Broyeur / moulin à céréales et résidus, diesel 10 CV, 200–400 kg/h</w:t>
            </w:r>
          </w:p>
        </w:tc>
        <w:tc>
          <w:tcPr>
            <w:tcW w:type="dxa" w:w="1949"/>
          </w:tcPr>
          <w:p>
            <w:r/>
            <w:r>
              <w:t>10</w:t>
            </w:r>
          </w:p>
        </w:tc>
        <w:tc>
          <w:tcPr>
            <w:tcW w:type="dxa" w:w="1949"/>
          </w:tcPr>
          <w:p>
            <w:r/>
            <w:r>
              <w:t>582</w:t>
            </w:r>
          </w:p>
        </w:tc>
        <w:tc>
          <w:tcPr>
            <w:tcW w:type="dxa" w:w="1949"/>
          </w:tcPr>
          <w:p>
            <w:r/>
            <w:r>
              <w:t>5 820</w:t>
            </w:r>
          </w:p>
        </w:tc>
      </w:tr>
      <w:tr>
        <w:tc>
          <w:tcPr>
            <w:tcW w:type="dxa" w:w="1949"/>
          </w:tcPr>
          <w:p>
            <w:r/>
            <w:r>
              <w:t>ZYSS20</w:t>
            </w:r>
          </w:p>
        </w:tc>
        <w:tc>
          <w:tcPr>
            <w:tcW w:type="dxa" w:w="1949"/>
          </w:tcPr>
          <w:p>
            <w:r/>
            <w:r>
              <w:t>Presse à huile motorisée inox, électrique 4 kW, 10–30 kg/h</w:t>
            </w:r>
          </w:p>
        </w:tc>
        <w:tc>
          <w:tcPr>
            <w:tcW w:type="dxa" w:w="1949"/>
          </w:tcPr>
          <w:p>
            <w:r/>
            <w:r>
              <w:t>10</w:t>
            </w:r>
          </w:p>
        </w:tc>
        <w:tc>
          <w:tcPr>
            <w:tcW w:type="dxa" w:w="1949"/>
          </w:tcPr>
          <w:p>
            <w:r/>
            <w:r>
              <w:t>1 035</w:t>
            </w:r>
          </w:p>
        </w:tc>
        <w:tc>
          <w:tcPr>
            <w:tcW w:type="dxa" w:w="1949"/>
          </w:tcPr>
          <w:p>
            <w:r/>
            <w:r>
              <w:t>10 350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b/>
              </w:rPr>
              <w:t>TOTAL — 40 machines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40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b/>
              </w:rPr>
              <w:t>21 390 USD</w:t>
            </w:r>
          </w:p>
        </w:tc>
      </w:tr>
    </w:tbl>
    <w:p/>
    <w:p>
      <w:r>
        <w:t xml:space="preserve">Au taux de </w:t>
      </w:r>
      <w:r>
        <w:rPr>
          <w:b/>
        </w:rPr>
        <w:t>560 FCFA / USD</w:t>
      </w:r>
      <w:r>
        <w:t xml:space="preserve"> : </w:t>
      </w:r>
      <w:r>
        <w:rPr>
          <w:b/>
        </w:rPr>
        <w:t>11 978 400 FCFA</w:t>
      </w:r>
      <w:r>
        <w:t xml:space="preserve"> de marchandise FOB.</w:t>
      </w:r>
    </w:p>
    <w:p>
      <w:r>
        <w:rPr>
          <w:b/>
        </w:rPr>
        <w:t>Volume et poids emballés</w:t>
      </w:r>
      <w:r>
        <w:t xml:space="preserve"> (caisses bois export, +15 % volume / +12 % poids) :</w:t>
      </w:r>
    </w:p>
    <w:p>
      <w:r>
        <w:rPr>
          <w:b/>
        </w:rPr>
        <w:t>25,37 m³</w:t>
      </w:r>
      <w:r>
        <w:t xml:space="preserve"> et </w:t>
      </w:r>
      <w:r>
        <w:rPr>
          <w:b/>
        </w:rPr>
        <w:t>5 208 kg</w:t>
      </w:r>
      <w:r>
        <w:t xml:space="preserve"> → </w:t>
      </w:r>
      <w:r>
        <w:rPr>
          <w:b/>
        </w:rPr>
        <w:t>un (01) conteneur 20 pieds</w:t>
      </w:r>
      <w:r>
        <w:t xml:space="preserve"> suffit (33 m³ / 28 t).</w:t>
      </w:r>
    </w:p>
    <w:p>
      <w:r>
        <w:rPr>
          <w:i/>
        </w:rPr>
        <w:t>Il reste environ 7 m³ disponibles : possibilité d'augmenter les quantités sans coût de fret supplémentaire — c'est le principal levier de baisse du prix de revient unitaire.</w:t>
      </w:r>
    </w:p>
    <w:p>
      <w:pPr>
        <w:pStyle w:val="Heading2"/>
      </w:pPr>
      <w:r/>
      <w:r>
        <w:t>2. COÛTS D'APPROCHE JUSQU'À NIAMEY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Poste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Montant (FCFA)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Base</w:t>
            </w:r>
          </w:p>
        </w:tc>
      </w:tr>
      <w:tr>
        <w:tc>
          <w:tcPr>
            <w:tcW w:type="dxa" w:w="3249"/>
          </w:tcPr>
          <w:p>
            <w:r/>
            <w:r>
              <w:t>Fret maritime Qingdao → Lomé, 20' FCL</w:t>
            </w:r>
          </w:p>
        </w:tc>
        <w:tc>
          <w:tcPr>
            <w:tcW w:type="dxa" w:w="3249"/>
          </w:tcPr>
          <w:p>
            <w:r/>
            <w:r>
              <w:t>1 064 000</w:t>
            </w:r>
          </w:p>
        </w:tc>
        <w:tc>
          <w:tcPr>
            <w:tcW w:type="dxa" w:w="3249"/>
          </w:tcPr>
          <w:p>
            <w:r/>
            <w:r>
              <w:t>1 900 USD</w:t>
            </w:r>
          </w:p>
        </w:tc>
      </w:tr>
      <w:tr>
        <w:tc>
          <w:tcPr>
            <w:tcW w:type="dxa" w:w="3249"/>
          </w:tcPr>
          <w:p>
            <w:r/>
            <w:r>
              <w:t>Assurance transport</w:t>
            </w:r>
          </w:p>
        </w:tc>
        <w:tc>
          <w:tcPr>
            <w:tcW w:type="dxa" w:w="3249"/>
          </w:tcPr>
          <w:p>
            <w:r/>
            <w:r>
              <w:t>65 212</w:t>
            </w:r>
          </w:p>
        </w:tc>
        <w:tc>
          <w:tcPr>
            <w:tcW w:type="dxa" w:w="3249"/>
          </w:tcPr>
          <w:p>
            <w:r/>
            <w:r>
              <w:t>0,5 % de (FOB + fret)</w:t>
            </w:r>
          </w:p>
        </w:tc>
      </w:tr>
      <w:tr>
        <w:tc>
          <w:tcPr>
            <w:tcW w:type="dxa" w:w="3249"/>
          </w:tcPr>
          <w:p>
            <w:r/>
            <w:r>
              <w:t>Frais portuaires Lomé, THC, transit maritime</w:t>
            </w:r>
          </w:p>
        </w:tc>
        <w:tc>
          <w:tcPr>
            <w:tcW w:type="dxa" w:w="3249"/>
          </w:tcPr>
          <w:p>
            <w:r/>
            <w:r>
              <w:t>450 000</w:t>
            </w:r>
          </w:p>
        </w:tc>
        <w:tc>
          <w:tcPr>
            <w:tcW w:type="dxa" w:w="3249"/>
          </w:tcPr>
          <w:p>
            <w:r/>
            <w:r>
              <w:t>forfait</w:t>
            </w:r>
          </w:p>
        </w:tc>
      </w:tr>
      <w:tr>
        <w:tc>
          <w:tcPr>
            <w:tcW w:type="dxa" w:w="3249"/>
          </w:tcPr>
          <w:p>
            <w:r/>
            <w:r>
              <w:t>Transport routier Lomé → Niamey</w:t>
            </w:r>
          </w:p>
        </w:tc>
        <w:tc>
          <w:tcPr>
            <w:tcW w:type="dxa" w:w="3249"/>
          </w:tcPr>
          <w:p>
            <w:r/>
            <w:r>
              <w:t>1 600 000</w:t>
            </w:r>
          </w:p>
        </w:tc>
        <w:tc>
          <w:tcPr>
            <w:tcW w:type="dxa" w:w="3249"/>
          </w:tcPr>
          <w:p>
            <w:r/>
            <w:r>
              <w:t>conteneur 20'</w:t>
            </w:r>
          </w:p>
        </w:tc>
      </w:tr>
      <w:tr>
        <w:tc>
          <w:tcPr>
            <w:tcW w:type="dxa" w:w="3249"/>
          </w:tcPr>
          <w:p>
            <w:r/>
            <w:r>
              <w:t>Transit, dédouanement et manutention Niamey</w:t>
            </w:r>
          </w:p>
        </w:tc>
        <w:tc>
          <w:tcPr>
            <w:tcW w:type="dxa" w:w="3249"/>
          </w:tcPr>
          <w:p>
            <w:r/>
            <w:r>
              <w:t>350 000</w:t>
            </w:r>
          </w:p>
        </w:tc>
        <w:tc>
          <w:tcPr>
            <w:tcW w:type="dxa" w:w="3249"/>
          </w:tcPr>
          <w:p>
            <w:r/>
            <w:r>
              <w:t>forfait</w:t>
            </w:r>
          </w:p>
        </w:tc>
      </w:tr>
      <w:tr>
        <w:tc>
          <w:tcPr>
            <w:tcW w:type="dxa" w:w="3249"/>
          </w:tcPr>
          <w:p>
            <w:r/>
            <w:r>
              <w:t>Inspection avant embarquement (COTECNA)</w:t>
            </w:r>
          </w:p>
        </w:tc>
        <w:tc>
          <w:tcPr>
            <w:tcW w:type="dxa" w:w="3249"/>
          </w:tcPr>
          <w:p>
            <w:r/>
            <w:r>
              <w:t>119 784</w:t>
            </w:r>
          </w:p>
        </w:tc>
        <w:tc>
          <w:tcPr>
            <w:tcW w:type="dxa" w:w="3249"/>
          </w:tcPr>
          <w:p>
            <w:r/>
            <w:r>
              <w:t>1 % du FOB</w:t>
            </w:r>
          </w:p>
        </w:tc>
      </w:tr>
      <w:tr>
        <w:tc>
          <w:tcPr>
            <w:tcW w:type="dxa" w:w="3249"/>
          </w:tcPr>
          <w:p>
            <w:r/>
            <w:r>
              <w:t>Frais bancaires et transfert international</w:t>
            </w:r>
          </w:p>
        </w:tc>
        <w:tc>
          <w:tcPr>
            <w:tcW w:type="dxa" w:w="3249"/>
          </w:tcPr>
          <w:p>
            <w:r/>
            <w:r>
              <w:t>179 676</w:t>
            </w:r>
          </w:p>
        </w:tc>
        <w:tc>
          <w:tcPr>
            <w:tcW w:type="dxa" w:w="3249"/>
          </w:tcPr>
          <w:p>
            <w:r/>
            <w:r>
              <w:t>1,5 % du FOB</w:t>
            </w:r>
          </w:p>
        </w:tc>
      </w:tr>
      <w:tr>
        <w:tc>
          <w:tcPr>
            <w:tcW w:type="dxa" w:w="3249"/>
          </w:tcPr>
          <w:p>
            <w:r/>
            <w:r>
              <w:t>Stockage et manutention magasin Niamey</w:t>
            </w:r>
          </w:p>
        </w:tc>
        <w:tc>
          <w:tcPr>
            <w:tcW w:type="dxa" w:w="3249"/>
          </w:tcPr>
          <w:p>
            <w:r/>
            <w:r>
              <w:t>200 000</w:t>
            </w:r>
          </w:p>
        </w:tc>
        <w:tc>
          <w:tcPr>
            <w:tcW w:type="dxa" w:w="3249"/>
          </w:tcPr>
          <w:p>
            <w:r/>
            <w:r>
              <w:t>forfait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Total coûts d'approche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4 028 672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pPr>
        <w:pStyle w:val="Heading2"/>
      </w:pPr>
      <w:r/>
      <w:r>
        <w:t>3. DROITS ET TAXES À L'IMPORT</w:t>
      </w:r>
    </w:p>
    <w:p>
      <w:r>
        <w:rPr>
          <w:b/>
        </w:rPr>
        <w:t>Valeur en douane (CAF) = FOB + fret maritime + transport routier + assurance = 14 707 612 FCFA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Taxe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Taux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Montant (FCFA)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Nature</w:t>
            </w:r>
          </w:p>
        </w:tc>
      </w:tr>
      <w:tr>
        <w:tc>
          <w:tcPr>
            <w:tcW w:type="dxa" w:w="2436"/>
          </w:tcPr>
          <w:p>
            <w:r/>
            <w:r>
              <w:t>Droit de douane (catégorie 1 — biens d'équipement)</w:t>
            </w:r>
          </w:p>
        </w:tc>
        <w:tc>
          <w:tcPr>
            <w:tcW w:type="dxa" w:w="2436"/>
          </w:tcPr>
          <w:p>
            <w:r/>
            <w:r>
              <w:t>5 %</w:t>
            </w:r>
          </w:p>
        </w:tc>
        <w:tc>
          <w:tcPr>
            <w:tcW w:type="dxa" w:w="2436"/>
          </w:tcPr>
          <w:p>
            <w:r/>
            <w:r>
              <w:t>735 381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coût</w:t>
            </w:r>
          </w:p>
        </w:tc>
      </w:tr>
      <w:tr>
        <w:tc>
          <w:tcPr>
            <w:tcW w:type="dxa" w:w="2436"/>
          </w:tcPr>
          <w:p>
            <w:r/>
            <w:r>
              <w:t>Redevance statistique (RS)</w:t>
            </w:r>
          </w:p>
        </w:tc>
        <w:tc>
          <w:tcPr>
            <w:tcW w:type="dxa" w:w="2436"/>
          </w:tcPr>
          <w:p>
            <w:r/>
            <w:r>
              <w:t>1 %</w:t>
            </w:r>
          </w:p>
        </w:tc>
        <w:tc>
          <w:tcPr>
            <w:tcW w:type="dxa" w:w="2436"/>
          </w:tcPr>
          <w:p>
            <w:r/>
            <w:r>
              <w:t>147 076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coût</w:t>
            </w:r>
          </w:p>
        </w:tc>
      </w:tr>
      <w:tr>
        <w:tc>
          <w:tcPr>
            <w:tcW w:type="dxa" w:w="2436"/>
          </w:tcPr>
          <w:p>
            <w:r/>
            <w:r>
              <w:t>Prélèvement communautaire de solidarité (UEMOA)</w:t>
            </w:r>
          </w:p>
        </w:tc>
        <w:tc>
          <w:tcPr>
            <w:tcW w:type="dxa" w:w="2436"/>
          </w:tcPr>
          <w:p>
            <w:r/>
            <w:r>
              <w:t>1 %</w:t>
            </w:r>
          </w:p>
        </w:tc>
        <w:tc>
          <w:tcPr>
            <w:tcW w:type="dxa" w:w="2436"/>
          </w:tcPr>
          <w:p>
            <w:r/>
            <w:r>
              <w:t>147 076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coût</w:t>
            </w:r>
          </w:p>
        </w:tc>
      </w:tr>
      <w:tr>
        <w:tc>
          <w:tcPr>
            <w:tcW w:type="dxa" w:w="2436"/>
          </w:tcPr>
          <w:p>
            <w:r/>
            <w:r>
              <w:t>Prélèvement communautaire (CEDEAO)</w:t>
            </w:r>
          </w:p>
        </w:tc>
        <w:tc>
          <w:tcPr>
            <w:tcW w:type="dxa" w:w="2436"/>
          </w:tcPr>
          <w:p>
            <w:r/>
            <w:r>
              <w:t>0,5 %</w:t>
            </w:r>
          </w:p>
        </w:tc>
        <w:tc>
          <w:tcPr>
            <w:tcW w:type="dxa" w:w="2436"/>
          </w:tcPr>
          <w:p>
            <w:r/>
            <w:r>
              <w:t>73 538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coût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Total droits non récupérables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7,5 %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1 103 071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t>TVA à l'import</w:t>
            </w:r>
          </w:p>
        </w:tc>
        <w:tc>
          <w:tcPr>
            <w:tcW w:type="dxa" w:w="2436"/>
          </w:tcPr>
          <w:p>
            <w:r/>
            <w:r>
              <w:t>19 %</w:t>
            </w:r>
          </w:p>
        </w:tc>
        <w:tc>
          <w:tcPr>
            <w:tcW w:type="dxa" w:w="2436"/>
          </w:tcPr>
          <w:p>
            <w:r/>
            <w:r>
              <w:t>3 004 030</w:t>
            </w:r>
          </w:p>
        </w:tc>
        <w:tc>
          <w:tcPr>
            <w:tcW w:type="dxa" w:w="2436"/>
          </w:tcPr>
          <w:p>
            <w:r/>
            <w:r>
              <w:t>récupérable</w:t>
            </w:r>
          </w:p>
        </w:tc>
      </w:tr>
      <w:tr>
        <w:tc>
          <w:tcPr>
            <w:tcW w:type="dxa" w:w="2436"/>
          </w:tcPr>
          <w:p>
            <w:r/>
            <w:r>
              <w:t>Acompte ISB/AIB</w:t>
            </w:r>
          </w:p>
        </w:tc>
        <w:tc>
          <w:tcPr>
            <w:tcW w:type="dxa" w:w="2436"/>
          </w:tcPr>
          <w:p>
            <w:r/>
            <w:r>
              <w:t>2 %</w:t>
            </w:r>
          </w:p>
        </w:tc>
        <w:tc>
          <w:tcPr>
            <w:tcW w:type="dxa" w:w="2436"/>
          </w:tcPr>
          <w:p>
            <w:r/>
            <w:r>
              <w:t>316 214</w:t>
            </w:r>
          </w:p>
        </w:tc>
        <w:tc>
          <w:tcPr>
            <w:tcW w:type="dxa" w:w="2436"/>
          </w:tcPr>
          <w:p>
            <w:r/>
            <w:r>
              <w:t>imputable</w:t>
            </w:r>
          </w:p>
        </w:tc>
      </w:tr>
    </w:tbl>
    <w:p/>
    <w:p>
      <w:pPr>
        <w:pStyle w:val="IntenseQuote"/>
      </w:pPr>
      <w:r>
        <w:t>⚠️ Le classement tarifaire (SH 8433 / 8436 / 8479) et la catégorie 1 à 5 % doivent être</w:t>
      </w:r>
    </w:p>
    <w:p>
      <w:pPr>
        <w:pStyle w:val="IntenseQuote"/>
      </w:pPr>
      <w:r>
        <w:rPr>
          <w:b/>
        </w:rPr>
        <w:t>confirmés par le transitaire</w:t>
      </w:r>
      <w:r>
        <w:t xml:space="preserve"> avant engagement. Vérifier également s'il existe une</w:t>
      </w:r>
    </w:p>
    <w:p>
      <w:pPr>
        <w:pStyle w:val="IntenseQuote"/>
      </w:pPr>
      <w:r>
        <w:t>exonération applicable au matériel agricole.</w:t>
      </w:r>
    </w:p>
    <w:p>
      <w:pPr>
        <w:pStyle w:val="Heading2"/>
      </w:pPr>
      <w:r/>
      <w:r>
        <w:t>4. PRIX DE REVIENT RENDU NIAMEY</w:t>
      </w:r>
    </w:p>
    <w:p>
      <w:r>
        <w:t xml:space="preserve">Répartition : fret, transport routier, frais portuaires et stockage </w:t>
      </w:r>
      <w:r>
        <w:rPr>
          <w:b/>
        </w:rPr>
        <w:t>au prorata du volume</w:t>
      </w:r>
      <w:r>
        <w:t xml:space="preserve"> ; assurance, inspection et frais bancaires </w:t>
      </w:r>
      <w:r>
        <w:rPr>
          <w:b/>
        </w:rPr>
        <w:t>au prorata de la valeur</w:t>
      </w:r>
      <w:r>
        <w:t>. Provision SAV/garantie : 2 %.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Modèle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Part du volume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Prix de revient total (FCFA)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Prix de revient unitaire (FCFA)</w:t>
            </w:r>
          </w:p>
        </w:tc>
      </w:tr>
      <w:tr>
        <w:tc>
          <w:tcPr>
            <w:tcW w:type="dxa" w:w="2436"/>
          </w:tcPr>
          <w:p>
            <w:r/>
            <w:r>
              <w:t>ZNST400 — Batteuse</w:t>
            </w:r>
          </w:p>
        </w:tc>
        <w:tc>
          <w:tcPr>
            <w:tcW w:type="dxa" w:w="2436"/>
          </w:tcPr>
          <w:p>
            <w:r/>
            <w:r>
              <w:t>47,9 %</w:t>
            </w:r>
          </w:p>
        </w:tc>
        <w:tc>
          <w:tcPr>
            <w:tcW w:type="dxa" w:w="2436"/>
          </w:tcPr>
          <w:p>
            <w:r/>
            <w:r>
              <w:t>4 634 561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463 456</w:t>
            </w:r>
          </w:p>
        </w:tc>
      </w:tr>
      <w:tr>
        <w:tc>
          <w:tcPr>
            <w:tcW w:type="dxa" w:w="2436"/>
          </w:tcPr>
          <w:p>
            <w:r/>
            <w:r>
              <w:t>ZNPS-1 — Décortiqueuse manuelle</w:t>
            </w:r>
          </w:p>
        </w:tc>
        <w:tc>
          <w:tcPr>
            <w:tcW w:type="dxa" w:w="2436"/>
          </w:tcPr>
          <w:p>
            <w:r/>
            <w:r>
              <w:t>12,4 %</w:t>
            </w:r>
          </w:p>
        </w:tc>
        <w:tc>
          <w:tcPr>
            <w:tcW w:type="dxa" w:w="2436"/>
          </w:tcPr>
          <w:p>
            <w:r/>
            <w:r>
              <w:t>1 038 592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103 859</w:t>
            </w:r>
          </w:p>
        </w:tc>
      </w:tr>
      <w:tr>
        <w:tc>
          <w:tcPr>
            <w:tcW w:type="dxa" w:w="2436"/>
          </w:tcPr>
          <w:p>
            <w:r/>
            <w:r>
              <w:t>ZNGQ360 — Broyeur/moulin</w:t>
            </w:r>
          </w:p>
        </w:tc>
        <w:tc>
          <w:tcPr>
            <w:tcW w:type="dxa" w:w="2436"/>
          </w:tcPr>
          <w:p>
            <w:r/>
            <w:r>
              <w:t>23,0 %</w:t>
            </w:r>
          </w:p>
        </w:tc>
        <w:tc>
          <w:tcPr>
            <w:tcW w:type="dxa" w:w="2436"/>
          </w:tcPr>
          <w:p>
            <w:r/>
            <w:r>
              <w:t>4 582 172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458 217</w:t>
            </w:r>
          </w:p>
        </w:tc>
      </w:tr>
      <w:tr>
        <w:tc>
          <w:tcPr>
            <w:tcW w:type="dxa" w:w="2436"/>
          </w:tcPr>
          <w:p>
            <w:r/>
            <w:r>
              <w:t>ZYSS20 — Presse à huile</w:t>
            </w:r>
          </w:p>
        </w:tc>
        <w:tc>
          <w:tcPr>
            <w:tcW w:type="dxa" w:w="2436"/>
          </w:tcPr>
          <w:p>
            <w:r/>
            <w:r>
              <w:t>16,7 %</w:t>
            </w:r>
          </w:p>
        </w:tc>
        <w:tc>
          <w:tcPr>
            <w:tcW w:type="dxa" w:w="2436"/>
          </w:tcPr>
          <w:p>
            <w:r/>
            <w:r>
              <w:t>7 197 021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719 703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436"/>
          </w:tcPr>
          <w:p>
            <w:r/>
            <w:r>
              <w:t>100 %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17 452 346</w:t>
            </w:r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Coefficient de revient global : 1,46 × le prix FOB</w:t>
      </w:r>
      <w:r>
        <w:t xml:space="preserve"> (soit +46 % entre Qingdao et Niamey).</w:t>
      </w:r>
    </w:p>
    <w:p>
      <w:r>
        <w:rPr>
          <w:b/>
        </w:rPr>
        <w:t>Trésorerie à mobiliser</w:t>
      </w:r>
      <w:r>
        <w:t xml:space="preserve"> : 17 452 346 + 3 004 030 (TVA) + 316 214 (ISB) = </w:t>
      </w:r>
      <w:r>
        <w:rPr>
          <w:b/>
        </w:rPr>
        <w:t>20 772 590 FCFA</w:t>
      </w:r>
      <w:r>
        <w:t>, dont environ 6 millions dès la commande (acompte de 50 %).</w:t>
      </w:r>
    </w:p>
    <w:p>
      <w:pPr>
        <w:pStyle w:val="Heading2"/>
      </w:pPr>
      <w:r/>
      <w:r>
        <w:t>5. PRIX DE VENTE ESTIMATIFS SUR LE MARCHÉ NIGÉRIEN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Modèle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Revient unitaire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PV HT conseillé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PV TTC (19 %)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Prix de lot (≥ 5 u.)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Marge unitaire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Taux de marge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Repère marché Afrique de l'Ouest</w:t>
            </w:r>
          </w:p>
        </w:tc>
      </w:tr>
      <w:tr>
        <w:tc>
          <w:tcPr>
            <w:tcW w:type="dxa" w:w="1218"/>
          </w:tcPr>
          <w:p>
            <w:r/>
            <w:r>
              <w:t>ZNST400 — Batteuse diesel</w:t>
            </w:r>
          </w:p>
        </w:tc>
        <w:tc>
          <w:tcPr>
            <w:tcW w:type="dxa" w:w="1218"/>
          </w:tcPr>
          <w:p>
            <w:r/>
            <w:r>
              <w:t>463 456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790 000</w:t>
            </w:r>
          </w:p>
        </w:tc>
        <w:tc>
          <w:tcPr>
            <w:tcW w:type="dxa" w:w="1218"/>
          </w:tcPr>
          <w:p>
            <w:r/>
            <w:r>
              <w:t>940 100</w:t>
            </w:r>
          </w:p>
        </w:tc>
        <w:tc>
          <w:tcPr>
            <w:tcW w:type="dxa" w:w="1218"/>
          </w:tcPr>
          <w:p>
            <w:r/>
            <w:r>
              <w:t>670 000</w:t>
            </w:r>
          </w:p>
        </w:tc>
        <w:tc>
          <w:tcPr>
            <w:tcW w:type="dxa" w:w="1218"/>
          </w:tcPr>
          <w:p>
            <w:r/>
            <w:r>
              <w:t>326 544</w:t>
            </w:r>
          </w:p>
        </w:tc>
        <w:tc>
          <w:tcPr>
            <w:tcW w:type="dxa" w:w="1218"/>
          </w:tcPr>
          <w:p>
            <w:r/>
            <w:r>
              <w:t>41,3 %</w:t>
            </w:r>
          </w:p>
        </w:tc>
        <w:tc>
          <w:tcPr>
            <w:tcW w:type="dxa" w:w="1218"/>
          </w:tcPr>
          <w:p>
            <w:r/>
            <w:r>
              <w:t>900 000 – 1 000 000</w:t>
            </w:r>
          </w:p>
        </w:tc>
      </w:tr>
      <w:tr>
        <w:tc>
          <w:tcPr>
            <w:tcW w:type="dxa" w:w="1218"/>
          </w:tcPr>
          <w:p>
            <w:r/>
            <w:r>
              <w:t>ZNPS-1 — Décortiqueuse manuelle</w:t>
            </w:r>
          </w:p>
        </w:tc>
        <w:tc>
          <w:tcPr>
            <w:tcW w:type="dxa" w:w="1218"/>
          </w:tcPr>
          <w:p>
            <w:r/>
            <w:r>
              <w:t>103 859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175 000</w:t>
            </w:r>
          </w:p>
        </w:tc>
        <w:tc>
          <w:tcPr>
            <w:tcW w:type="dxa" w:w="1218"/>
          </w:tcPr>
          <w:p>
            <w:r/>
            <w:r>
              <w:t>208 250</w:t>
            </w:r>
          </w:p>
        </w:tc>
        <w:tc>
          <w:tcPr>
            <w:tcW w:type="dxa" w:w="1218"/>
          </w:tcPr>
          <w:p>
            <w:r/>
            <w:r>
              <w:t>150 000</w:t>
            </w:r>
          </w:p>
        </w:tc>
        <w:tc>
          <w:tcPr>
            <w:tcW w:type="dxa" w:w="1218"/>
          </w:tcPr>
          <w:p>
            <w:r/>
            <w:r>
              <w:t>71 141</w:t>
            </w:r>
          </w:p>
        </w:tc>
        <w:tc>
          <w:tcPr>
            <w:tcW w:type="dxa" w:w="1218"/>
          </w:tcPr>
          <w:p>
            <w:r/>
            <w:r>
              <w:t>40,7 %</w:t>
            </w:r>
          </w:p>
        </w:tc>
        <w:tc>
          <w:tcPr>
            <w:tcW w:type="dxa" w:w="1218"/>
          </w:tcPr>
          <w:p>
            <w:r/>
            <w:r>
              <w:t>180 000 – 250 000</w:t>
            </w:r>
          </w:p>
        </w:tc>
      </w:tr>
      <w:tr>
        <w:tc>
          <w:tcPr>
            <w:tcW w:type="dxa" w:w="1218"/>
          </w:tcPr>
          <w:p>
            <w:r/>
            <w:r>
              <w:t>ZNGQ360 — Broyeur diesel</w:t>
            </w:r>
          </w:p>
        </w:tc>
        <w:tc>
          <w:tcPr>
            <w:tcW w:type="dxa" w:w="1218"/>
          </w:tcPr>
          <w:p>
            <w:r/>
            <w:r>
              <w:t>458 217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780 000</w:t>
            </w:r>
          </w:p>
        </w:tc>
        <w:tc>
          <w:tcPr>
            <w:tcW w:type="dxa" w:w="1218"/>
          </w:tcPr>
          <w:p>
            <w:r/>
            <w:r>
              <w:t>928 200</w:t>
            </w:r>
          </w:p>
        </w:tc>
        <w:tc>
          <w:tcPr>
            <w:tcW w:type="dxa" w:w="1218"/>
          </w:tcPr>
          <w:p>
            <w:r/>
            <w:r>
              <w:t>665 000</w:t>
            </w:r>
          </w:p>
        </w:tc>
        <w:tc>
          <w:tcPr>
            <w:tcW w:type="dxa" w:w="1218"/>
          </w:tcPr>
          <w:p>
            <w:r/>
            <w:r>
              <w:t>321 783</w:t>
            </w:r>
          </w:p>
        </w:tc>
        <w:tc>
          <w:tcPr>
            <w:tcW w:type="dxa" w:w="1218"/>
          </w:tcPr>
          <w:p>
            <w:r/>
            <w:r>
              <w:t>41,3 %</w:t>
            </w:r>
          </w:p>
        </w:tc>
        <w:tc>
          <w:tcPr>
            <w:tcW w:type="dxa" w:w="1218"/>
          </w:tcPr>
          <w:p>
            <w:r/>
            <w:r>
              <w:t>800 000 – 900 000</w:t>
            </w:r>
          </w:p>
        </w:tc>
      </w:tr>
      <w:tr>
        <w:tc>
          <w:tcPr>
            <w:tcW w:type="dxa" w:w="1218"/>
          </w:tcPr>
          <w:p>
            <w:r/>
            <w:r>
              <w:t>ZYSS20 — Presse à huile inox</w:t>
            </w:r>
          </w:p>
        </w:tc>
        <w:tc>
          <w:tcPr>
            <w:tcW w:type="dxa" w:w="1218"/>
          </w:tcPr>
          <w:p>
            <w:r/>
            <w:r>
              <w:t>719 703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1 225 000</w:t>
            </w:r>
          </w:p>
        </w:tc>
        <w:tc>
          <w:tcPr>
            <w:tcW w:type="dxa" w:w="1218"/>
          </w:tcPr>
          <w:p>
            <w:r/>
            <w:r>
              <w:t>1 457 750</w:t>
            </w:r>
          </w:p>
        </w:tc>
        <w:tc>
          <w:tcPr>
            <w:tcW w:type="dxa" w:w="1218"/>
          </w:tcPr>
          <w:p>
            <w:r/>
            <w:r>
              <w:t>1 045 000</w:t>
            </w:r>
          </w:p>
        </w:tc>
        <w:tc>
          <w:tcPr>
            <w:tcW w:type="dxa" w:w="1218"/>
          </w:tcPr>
          <w:p>
            <w:r/>
            <w:r>
              <w:t>505 297</w:t>
            </w:r>
          </w:p>
        </w:tc>
        <w:tc>
          <w:tcPr>
            <w:tcW w:type="dxa" w:w="1218"/>
          </w:tcPr>
          <w:p>
            <w:r/>
            <w:r>
              <w:t>41,2 %</w:t>
            </w:r>
          </w:p>
        </w:tc>
        <w:tc>
          <w:tcPr>
            <w:tcW w:type="dxa" w:w="1218"/>
          </w:tcPr>
          <w:p>
            <w:r/>
            <w:r>
              <w:t>1 200 000 – 1 400 000</w:t>
            </w:r>
          </w:p>
        </w:tc>
      </w:tr>
    </w:tbl>
    <w:p/>
    <w:p>
      <w:r>
        <w:rPr>
          <w:b/>
        </w:rPr>
        <w:t>Positionnement :</w:t>
      </w:r>
      <w:r>
        <w:t xml:space="preserve"> les prix conseillés ressortent </w:t>
      </w:r>
      <w:r>
        <w:rPr>
          <w:b/>
        </w:rPr>
        <w:t>6 à 17 % en dessous</w:t>
      </w:r>
      <w:r>
        <w:t xml:space="preserve"> des prix constatés chez les distributeurs ouest-africains pour des machines de gamme équivalente, tout en dégageant </w:t>
      </w:r>
      <w:r>
        <w:rPr>
          <w:b/>
        </w:rPr>
        <w:t>41 % de marge sur le prix de vente</w:t>
      </w:r>
      <w:r>
        <w:t>.</w:t>
      </w:r>
    </w:p>
    <w:p>
      <w:pPr>
        <w:pStyle w:val="Heading3"/>
      </w:pPr>
      <w:r/>
      <w:r>
        <w:t>Résultat de l'opération (40 machines)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Montant (FCFA)</w:t>
            </w:r>
          </w:p>
        </w:tc>
      </w:tr>
      <w:tr>
        <w:tc>
          <w:tcPr>
            <w:tcW w:type="dxa" w:w="4873"/>
          </w:tcPr>
          <w:p>
            <w:r/>
            <w:r>
              <w:t>Prix de revient total HT</w:t>
            </w:r>
          </w:p>
        </w:tc>
        <w:tc>
          <w:tcPr>
            <w:tcW w:type="dxa" w:w="4873"/>
          </w:tcPr>
          <w:p>
            <w:r/>
            <w:r>
              <w:t>17 452 346</w:t>
            </w:r>
          </w:p>
        </w:tc>
      </w:tr>
      <w:tr>
        <w:tc>
          <w:tcPr>
            <w:tcW w:type="dxa" w:w="4873"/>
          </w:tcPr>
          <w:p>
            <w:r/>
            <w:r>
              <w:t>Chiffre d'affaires HT — scénario prudent (coef. 1,45)</w:t>
            </w:r>
          </w:p>
        </w:tc>
        <w:tc>
          <w:tcPr>
            <w:tcW w:type="dxa" w:w="4873"/>
          </w:tcPr>
          <w:p>
            <w:r/>
            <w:r>
              <w:t>25 300 000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Chiffre d'affaires HT — scénario conseillé (coef. 1,70)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29 700 000</w:t>
            </w:r>
          </w:p>
        </w:tc>
      </w:tr>
      <w:tr>
        <w:tc>
          <w:tcPr>
            <w:tcW w:type="dxa" w:w="4873"/>
          </w:tcPr>
          <w:p>
            <w:r/>
            <w:r>
              <w:t>Chiffre d'affaires HT — scénario premium (coef. 1,90)</w:t>
            </w:r>
          </w:p>
        </w:tc>
        <w:tc>
          <w:tcPr>
            <w:tcW w:type="dxa" w:w="4873"/>
          </w:tcPr>
          <w:p>
            <w:r/>
            <w:r>
              <w:t>33 100 000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Marge brute — scénario conseillé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12 247 654</w:t>
            </w:r>
          </w:p>
        </w:tc>
      </w:tr>
      <w:tr>
        <w:tc>
          <w:tcPr>
            <w:tcW w:type="dxa" w:w="4873"/>
          </w:tcPr>
          <w:p>
            <w:r/>
            <w:r>
              <w:t>Taux de marge sur chiffre d'affaires</w:t>
            </w:r>
          </w:p>
        </w:tc>
        <w:tc>
          <w:tcPr>
            <w:tcW w:type="dxa" w:w="4873"/>
          </w:tcPr>
          <w:p>
            <w:r/>
            <w:r>
              <w:t>41,2 %</w:t>
            </w:r>
          </w:p>
        </w:tc>
      </w:tr>
      <w:tr>
        <w:tc>
          <w:tcPr>
            <w:tcW w:type="dxa" w:w="4873"/>
          </w:tcPr>
          <w:p>
            <w:r/>
            <w:r>
              <w:t>Rentabilité du capital engagé</w:t>
            </w:r>
          </w:p>
        </w:tc>
        <w:tc>
          <w:tcPr>
            <w:tcW w:type="dxa" w:w="4873"/>
          </w:tcPr>
          <w:p>
            <w:r/>
            <w:r>
              <w:t>70,2 %</w:t>
            </w:r>
          </w:p>
        </w:tc>
      </w:tr>
    </w:tbl>
    <w:p/>
    <w:p>
      <w:pPr>
        <w:pStyle w:val="Heading2"/>
      </w:pPr>
      <w:r/>
      <w:r>
        <w:t>6. DÉLAI PRÉVISIONNEL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Étape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Durée</w:t>
            </w:r>
          </w:p>
        </w:tc>
      </w:tr>
      <w:tr>
        <w:tc>
          <w:tcPr>
            <w:tcW w:type="dxa" w:w="4873"/>
          </w:tcPr>
          <w:p>
            <w:r/>
            <w:r>
              <w:t>Fabrication après acompte</w:t>
            </w:r>
          </w:p>
        </w:tc>
        <w:tc>
          <w:tcPr>
            <w:tcW w:type="dxa" w:w="4873"/>
          </w:tcPr>
          <w:p>
            <w:r/>
            <w:r>
              <w:t>15 jours</w:t>
            </w:r>
          </w:p>
        </w:tc>
      </w:tr>
      <w:tr>
        <w:tc>
          <w:tcPr>
            <w:tcW w:type="dxa" w:w="4873"/>
          </w:tcPr>
          <w:p>
            <w:r/>
            <w:r>
              <w:t>Transport maritime Qingdao → Lomé</w:t>
            </w:r>
          </w:p>
        </w:tc>
        <w:tc>
          <w:tcPr>
            <w:tcW w:type="dxa" w:w="4873"/>
          </w:tcPr>
          <w:p>
            <w:r/>
            <w:r>
              <w:t>40 à 45 jours</w:t>
            </w:r>
          </w:p>
        </w:tc>
      </w:tr>
      <w:tr>
        <w:tc>
          <w:tcPr>
            <w:tcW w:type="dxa" w:w="4873"/>
          </w:tcPr>
          <w:p>
            <w:r/>
            <w:r>
              <w:t>Déchargement, transit et route Lomé → Niamey</w:t>
            </w:r>
          </w:p>
        </w:tc>
        <w:tc>
          <w:tcPr>
            <w:tcW w:type="dxa" w:w="4873"/>
          </w:tcPr>
          <w:p>
            <w:r/>
            <w:r>
              <w:t>12 à 18 jours</w:t>
            </w:r>
          </w:p>
        </w:tc>
      </w:tr>
      <w:tr>
        <w:tc>
          <w:tcPr>
            <w:tcW w:type="dxa" w:w="4873"/>
          </w:tcPr>
          <w:p>
            <w:r/>
            <w:r>
              <w:t>Dédouanement et mise en magasin</w:t>
            </w:r>
          </w:p>
        </w:tc>
        <w:tc>
          <w:tcPr>
            <w:tcW w:type="dxa" w:w="4873"/>
          </w:tcPr>
          <w:p>
            <w:r/>
            <w:r>
              <w:t>5 à 8 jours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75 à 90 jours</w:t>
            </w:r>
          </w:p>
        </w:tc>
      </w:tr>
    </w:tbl>
    <w:p/>
    <w:p>
      <w:pPr>
        <w:pStyle w:val="Heading2"/>
      </w:pPr>
      <w:r/>
      <w:r>
        <w:t>7. RECOMMANDATIONS</w:t>
      </w:r>
    </w:p>
    <w:p>
      <w:pPr>
        <w:pStyle w:val="ListNumber"/>
      </w:pPr>
      <w:r>
        <w:rPr>
          <w:b/>
        </w:rPr>
        <w:t>Remplir le conteneur.</w:t>
      </w:r>
      <w:r>
        <w:t xml:space="preserve"> Il reste ~7 m³ : ajouter des unités ou d'autres références du</w:t>
      </w:r>
    </w:p>
    <w:p>
      <w:r>
        <w:t>catalogue ZENO fait baisser le prix de revient de chaque machine, le fret et le transport routier étant des coûts fixes par conteneur.</w:t>
      </w:r>
    </w:p>
    <w:p>
      <w:pPr>
        <w:pStyle w:val="ListNumber"/>
      </w:pPr>
      <w:r>
        <w:rPr>
          <w:b/>
        </w:rPr>
        <w:t>Négocier le FOB.</w:t>
      </w:r>
      <w:r>
        <w:t xml:space="preserve"> Le fournisseur annonce un prix lié aux quantités : demander une remise</w:t>
      </w:r>
    </w:p>
    <w:p>
      <w:r>
        <w:t>sur un engagement de deux conteneurs ou un tarif dégressif.</w:t>
      </w:r>
    </w:p>
    <w:p>
      <w:pPr>
        <w:pStyle w:val="ListNumber"/>
      </w:pPr>
      <w:r>
        <w:rPr>
          <w:b/>
        </w:rPr>
        <w:t>Sécuriser le change.</w:t>
      </w:r>
      <w:r>
        <w:t xml:space="preserve"> Chaque hausse de 10 FCFA du dollar renchérit la commande d'environ</w:t>
      </w:r>
    </w:p>
    <w:p>
      <w:r>
        <w:t>214 000 FCFA. Négocier le taux avec la banque au moment du transfert.</w:t>
      </w:r>
    </w:p>
    <w:p>
      <w:pPr>
        <w:pStyle w:val="ListNumber"/>
      </w:pPr>
      <w:r>
        <w:rPr>
          <w:b/>
        </w:rPr>
        <w:t>Commander les pièces d'usure</w:t>
      </w:r>
      <w:r>
        <w:t xml:space="preserve"> (grilles, courroies, marteaux, vis de presse) avec les</w:t>
      </w:r>
    </w:p>
    <w:p>
      <w:r>
        <w:t>machines : elles voyagent gratuitement et sécurisent la garantie et le SAV.</w:t>
      </w:r>
    </w:p>
    <w:p>
      <w:pPr>
        <w:pStyle w:val="ListNumber"/>
      </w:pPr>
      <w:r>
        <w:rPr>
          <w:b/>
        </w:rPr>
        <w:t>Confirmer trois chiffres avant de signer</w:t>
      </w:r>
      <w:r>
        <w:t xml:space="preserve"> : le classement douanier, la cotation ferme du</w:t>
      </w:r>
    </w:p>
    <w:p>
      <w:r>
        <w:t>transitaire et les prix réellement pratiqués à Niamey.</w:t>
      </w:r>
    </w:p>
    <w:p>
      <w:pPr>
        <w:pStyle w:val="ListNumber"/>
      </w:pPr>
      <w:r>
        <w:rPr>
          <w:b/>
        </w:rPr>
        <w:t>Vérifier l'alimentation électrique</w:t>
      </w:r>
      <w:r>
        <w:t xml:space="preserve"> de la presse à huile (4 kW) : compatibilité</w:t>
      </w:r>
    </w:p>
    <w:p>
      <w:r>
        <w:t>220 V / 380 V selon le client.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Sources et hypothèses</w:t>
      </w:r>
    </w:p>
    <w:p>
      <w:pPr>
        <w:pStyle w:val="ListBullet"/>
      </w:pPr>
      <w:r>
        <w:t>Cotation ZHENGZHOU ZENO MACHINERY CO., LTD, 19/08/2026 (prix, poids, dimensions, photos).</w:t>
      </w:r>
    </w:p>
    <w:p>
      <w:pPr>
        <w:pStyle w:val="ListBullet"/>
      </w:pPr>
      <w:r>
        <w:t xml:space="preserve">Taux de change : moyenne 2026 de 559 XOF/USD, arrondie à </w:t>
      </w:r>
      <w:r>
        <w:rPr>
          <w:b/>
        </w:rPr>
        <w:t>560</w:t>
      </w:r>
      <w:r>
        <w:t xml:space="preserve"> par prudence.</w:t>
      </w:r>
    </w:p>
    <w:p>
      <w:pPr>
        <w:pStyle w:val="ListBullet"/>
      </w:pPr>
      <w:r>
        <w:t>Fret maritime Chine → Lomé : fourchette de marché 1 350 – 1 950 USD par conteneur 20'.</w:t>
      </w:r>
    </w:p>
    <w:p>
      <w:pPr>
        <w:pStyle w:val="ListBullet"/>
      </w:pPr>
      <w:r>
        <w:t>Transport routier : corridor de Lomé, ~1 300 000 FCFA/20' vers Ouagadougou, majoré pour Niamey.</w:t>
      </w:r>
    </w:p>
    <w:p>
      <w:pPr>
        <w:pStyle w:val="ListBullet"/>
      </w:pPr>
      <w:r>
        <w:t>Fiscalité : TEC UEMOA/CEDEAO — catégorie 1 (biens d'équipement) à 5 %, RS 1 %, PCS 1 %,</w:t>
      </w:r>
    </w:p>
    <w:p>
      <w:r>
        <w:t>PC 0,5 %, TVA 19 % au Niger.</w:t>
      </w:r>
    </w:p>
    <w:p>
      <w:pPr>
        <w:pStyle w:val="ListBullet"/>
      </w:pPr>
      <w:r>
        <w:t>Repères de prix : distributeurs de matériel agricole d'Afrique de l'Ouest (décortiqueuse</w:t>
      </w:r>
    </w:p>
    <w:p>
      <w:r>
        <w:t>arachide 600 000 F, moulin à céréales 600 000 F, presse à huile 500 000 F pour des modèles de gamme inférieure ; presse hydraulique 1 500 000 F).</w:t>
      </w:r>
    </w:p>
    <w:p>
      <w:r>
        <w:rPr>
          <w:b/>
        </w:rPr>
        <w:t>Tous ces paramètres sont modifiables dans le classeur `PRIX_DE_REVIENT_ET_PRIX_DE_VENTE.xlsx`, onglet « Hypothèses » : l'ensemble des prix de revient et des prix de vente se recalcule automatiquement.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