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SOMMAIRE GÉNÉRAL DU DOSSIER DE SOUMISSION</w:t>
      </w:r>
    </w:p>
    <w:p>
      <w:r>
        <w:rPr>
          <w:b/>
        </w:rPr>
        <w:t>SOUMISSIONNAIRE : MERCURE SARL — NIAMEY</w:t>
      </w:r>
      <w:r>
        <w:t xml:space="preserve"> 41, Rue de la COPRO — BP : 11 974 Niamey — Tél. : (227) 20 73 40 29 / 20 73 57 23 E-mail : mercure.niger@gmail.com — Site : www.mercure-sarl.org RCCM : NI-NIM-2004-B 717 — NIF : 1392/R</w:t>
      </w:r>
    </w:p>
    <w:p>
      <w:r>
        <w:rPr>
          <w:b/>
        </w:rPr>
        <w:t>APPEL D'OFFRES OUVERT N° 007/2026/ONEN/FONDATION STROMME/DO</w:t>
      </w:r>
    </w:p>
    <w:p>
      <w:r>
        <w:rPr>
          <w:b/>
        </w:rPr>
        <w:t>Objet :</w:t>
      </w:r>
      <w:r>
        <w:t xml:space="preserve"> « La Sélection d'un prestataire pour la confection des mobiliers scolaires au profit des centres SSA/P implantés dans les communes rurales de Koygolo et de Sokorbé respectivement dans les départements de Boboye et de Loga. »</w:t>
      </w:r>
    </w:p>
    <w:p>
      <w:r>
        <w:rPr>
          <w:b/>
        </w:rPr>
        <w:t>Autorité contractante :</w:t>
      </w:r>
      <w:r>
        <w:t xml:space="preserve"> ONG ONEN – Coordination Régionale de Dosso</w:t>
      </w:r>
    </w:p>
    <w:p>
      <w:r>
        <w:rPr>
          <w:b/>
        </w:rPr>
        <w:t>Partenaire financier :</w:t>
      </w:r>
      <w:r>
        <w:t xml:space="preserve"> Fondation Stromme Niger</w:t>
      </w:r>
    </w:p>
    <w:p>
      <w:r>
        <w:rPr>
          <w:b/>
        </w:rPr>
        <w:t>Date limite de dépôt :</w:t>
      </w:r>
      <w:r>
        <w:t xml:space="preserve"> vendredi 04 septembre 2026 (dépouillement le même jour à 16 h 15)</w:t>
      </w:r>
    </w:p>
    <w:p>
      <w:r>
        <w:rPr>
          <w:b/>
        </w:rPr>
        <w:t>Lot :</w:t>
      </w:r>
      <w:r>
        <w:t xml:space="preserve"> un (01) lot unique — </w:t>
      </w:r>
      <w:r>
        <w:rPr>
          <w:b/>
        </w:rPr>
        <w:t>Monnaie :</w:t>
      </w:r>
      <w:r>
        <w:t xml:space="preserve"> Franc CFA — </w:t>
      </w:r>
      <w:r>
        <w:rPr>
          <w:b/>
        </w:rPr>
        <w:t>Langue :</w:t>
      </w:r>
      <w:r>
        <w:t xml:space="preserve"> Français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ORGANISATION DU PLI</w:t>
      </w:r>
    </w:p>
    <w:p>
      <w:r>
        <w:t xml:space="preserve">Le pli fermé déposé à l'ONG ONEN Dosso contient </w:t>
      </w:r>
      <w:r>
        <w:rPr>
          <w:b/>
        </w:rPr>
        <w:t>DEUX (02) ENVELOPPES SÉPARÉES ET FERMÉES</w:t>
      </w:r>
      <w:r>
        <w:t xml:space="preserve">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Enveloppe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Contenu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Pièces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ENVELOPPE A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OFFRE TECHNIQUE</w:t>
            </w:r>
            <w:r>
              <w:t xml:space="preserve"> (pièces administratives, fiscales et techniques)</w:t>
            </w:r>
          </w:p>
        </w:tc>
        <w:tc>
          <w:tcPr>
            <w:tcW w:type="dxa" w:w="3249"/>
          </w:tcPr>
          <w:p>
            <w:r/>
            <w:r>
              <w:t>n° 1 à 21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ENVELOPPE B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OFFRE FINANCIÈRE</w:t>
            </w:r>
            <w:r>
              <w:t xml:space="preserve"> (devis quantitatif chiffré)</w:t>
            </w:r>
          </w:p>
        </w:tc>
        <w:tc>
          <w:tcPr>
            <w:tcW w:type="dxa" w:w="3249"/>
          </w:tcPr>
          <w:p>
            <w:r/>
            <w:r>
              <w:t>n° 22 à 25</w:t>
            </w:r>
          </w:p>
        </w:tc>
      </w:tr>
    </w:tbl>
    <w:p/>
    <w:p>
      <w:r>
        <w:rPr>
          <w:b/>
        </w:rPr>
        <w:t>Chaque enveloppe s'ouvre par sa page de garde, placée avant le présent sommaire.</w:t>
      </w:r>
    </w:p>
    <w:p>
      <w:pPr>
        <w:pStyle w:val="IntenseQuote"/>
      </w:pPr>
      <w:r>
        <w:t xml:space="preserve">⚠️ </w:t>
      </w:r>
      <w:r>
        <w:rPr>
          <w:b/>
        </w:rPr>
        <w:t>RÈGLE ÉLIMINATOIRE (TDR, art. XIV-a) :</w:t>
      </w:r>
      <w:r>
        <w:t xml:space="preserve"> *« L'absence d'une seule pièce administrative</w:t>
      </w:r>
    </w:p>
    <w:p>
      <w:pPr>
        <w:pStyle w:val="IntenseQuote"/>
      </w:pPr>
      <w:r>
        <w:t>et fiscale entraînera la disqualification du prestataire »</w:t>
      </w:r>
      <w:r>
        <w:rPr>
          <w:i/>
        </w:rPr>
        <w:t xml:space="preserve">. Les pièces </w:t>
      </w:r>
      <w:r>
        <w:rPr>
          <w:i/>
        </w:rPr>
        <w:t>n° 5 à 9</w:t>
      </w:r>
      <w:r>
        <w:t>* sont donc</w:t>
      </w:r>
    </w:p>
    <w:p>
      <w:pPr>
        <w:pStyle w:val="IntenseQuote"/>
      </w:pPr>
      <w:r>
        <w:t>à contrôler deux fois avant fermeture du pli.</w:t>
      </w:r>
    </w:p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1"/>
      </w:pPr>
      <w:r/>
      <w:r>
        <w:t>ENVELOPPE A — OFFRE TECHNIQUE</w:t>
      </w:r>
    </w:p>
    <w:p>
      <w:pPr>
        <w:pStyle w:val="Heading2"/>
      </w:pPr>
      <w:r/>
      <w:r>
        <w:t>PARTIE I — PIÈCES DE PRÉSENTATION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N°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Document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Statut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Page de garde</w:t>
            </w:r>
            <w:r>
              <w:t xml:space="preserve"> — en-tête MERCURE SARL, emblème de l'ONG ONEN, référence et objet du DAO, maquette et photos d’activités conservées </w:t>
            </w:r>
            <w:r>
              <w:rPr>
                <w:i/>
              </w:rPr>
              <w:t>(placée en premier, avant le sommaire)</w:t>
            </w:r>
          </w:p>
        </w:tc>
        <w:tc>
          <w:tcPr>
            <w:tcW w:type="dxa" w:w="3249"/>
          </w:tcPr>
          <w:p>
            <w:r/>
            <w:r>
              <w:t xml:space="preserve">✅ </w:t>
            </w:r>
            <w:r>
              <w:rPr>
                <w:rFonts w:ascii="Consolas" w:hAnsi="Consolas"/>
              </w:rPr>
              <w:t>PAGE_DE_GARDE.pdf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3249"/>
          </w:tcPr>
          <w:p>
            <w:r/>
            <w:r>
              <w:t xml:space="preserve">Le présent </w:t>
            </w:r>
            <w:r>
              <w:rPr>
                <w:b/>
              </w:rPr>
              <w:t>sommaire numéroté</w:t>
            </w:r>
            <w:r>
              <w:t>, paginé, signé et cacheté</w:t>
            </w:r>
          </w:p>
        </w:tc>
        <w:tc>
          <w:tcPr>
            <w:tcW w:type="dxa" w:w="3249"/>
          </w:tcPr>
          <w:p>
            <w:r/>
            <w:r>
              <w:t>✅ Rédigé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Lettre de soumission et de transmission</w:t>
            </w:r>
            <w:r>
              <w:t xml:space="preserve"> adressée au Coordinateur Régional de l'ONG ONEN Dosso</w:t>
            </w:r>
          </w:p>
        </w:tc>
        <w:tc>
          <w:tcPr>
            <w:tcW w:type="dxa" w:w="3249"/>
          </w:tcPr>
          <w:p>
            <w:r/>
            <w:r>
              <w:t>✅ Rédigée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ANNEXE 1</w:t>
            </w:r>
            <w:r>
              <w:t xml:space="preserve"> — Formulaire d'information générale sur la société, rempli, signé, daté et cacheté</w:t>
            </w:r>
          </w:p>
        </w:tc>
        <w:tc>
          <w:tcPr>
            <w:tcW w:type="dxa" w:w="3249"/>
          </w:tcPr>
          <w:p>
            <w:r/>
            <w:r>
              <w:t>✅ Pré-remplie</w:t>
            </w:r>
          </w:p>
        </w:tc>
      </w:tr>
    </w:tbl>
    <w:p/>
    <w:p>
      <w:pPr>
        <w:pStyle w:val="Heading2"/>
      </w:pPr>
      <w:r/>
      <w:r>
        <w:t xml:space="preserve">PARTIE II — CONFORMITÉS ADMINISTRATIVES ET FISCALES </w:t>
      </w:r>
      <w:r>
        <w:rPr>
          <w:i/>
        </w:rPr>
        <w:t>(25 points — éliminatoire)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N°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Document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Barème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Statut MERCURE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Copie légalisée du RCCM</w:t>
            </w:r>
            <w:r>
              <w:t xml:space="preserve"> — N° RCCM-NI-NIM-2004-B-717 (certificat d'inscription modificative du 06/12/2023)</w:t>
            </w:r>
          </w:p>
        </w:tc>
        <w:tc>
          <w:tcPr>
            <w:tcW w:type="dxa" w:w="2436"/>
          </w:tcPr>
          <w:p>
            <w:r/>
            <w:r>
              <w:t>5 pts</w:t>
            </w:r>
          </w:p>
        </w:tc>
        <w:tc>
          <w:tcPr>
            <w:tcW w:type="dxa" w:w="2436"/>
          </w:tcPr>
          <w:p>
            <w:r/>
            <w:r>
              <w:t xml:space="preserve">📄 Disponible → </w:t>
            </w:r>
            <w:r>
              <w:rPr>
                <w:b/>
              </w:rPr>
              <w:t>à faire légaliser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Copie légalisée du NIF</w:t>
            </w:r>
            <w:r>
              <w:t xml:space="preserve"> — N° 1392/R (certificat d'immatriculation DGI)</w:t>
            </w:r>
          </w:p>
        </w:tc>
        <w:tc>
          <w:tcPr>
            <w:tcW w:type="dxa" w:w="2436"/>
          </w:tcPr>
          <w:p>
            <w:r/>
            <w:r>
              <w:t>5 pts</w:t>
            </w:r>
          </w:p>
        </w:tc>
        <w:tc>
          <w:tcPr>
            <w:tcW w:type="dxa" w:w="2436"/>
          </w:tcPr>
          <w:p>
            <w:r/>
            <w:r>
              <w:t xml:space="preserve">📄 Disponible → </w:t>
            </w:r>
            <w:r>
              <w:rPr>
                <w:b/>
              </w:rPr>
              <w:t>à faire légaliser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Copie légalisée de l'ARF</w:t>
            </w:r>
            <w:r>
              <w:t xml:space="preserve"> (Attestation de Régularité Fiscale) en cours de validité</w:t>
            </w:r>
          </w:p>
        </w:tc>
        <w:tc>
          <w:tcPr>
            <w:tcW w:type="dxa" w:w="2436"/>
          </w:tcPr>
          <w:p>
            <w:r/>
            <w:r>
              <w:t>5 pts</w:t>
            </w:r>
          </w:p>
        </w:tc>
        <w:tc>
          <w:tcPr>
            <w:tcW w:type="dxa" w:w="2436"/>
          </w:tcPr>
          <w:p>
            <w:r/>
            <w:r>
              <w:t xml:space="preserve">🔴 </w:t>
            </w:r>
            <w:r>
              <w:rPr>
                <w:b/>
              </w:rPr>
              <w:t>À RETIRER À LA DGI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Attestation de non-faillite</w:t>
            </w:r>
            <w:r>
              <w:t xml:space="preserve"> (Greffe du Tribunal de Commerce de Niamey), de moins de 3 mois</w:t>
            </w:r>
          </w:p>
        </w:tc>
        <w:tc>
          <w:tcPr>
            <w:tcW w:type="dxa" w:w="2436"/>
          </w:tcPr>
          <w:p>
            <w:r/>
            <w:r>
              <w:t>5 pts</w:t>
            </w:r>
          </w:p>
        </w:tc>
        <w:tc>
          <w:tcPr>
            <w:tcW w:type="dxa" w:w="2436"/>
          </w:tcPr>
          <w:p>
            <w:r/>
            <w:r>
              <w:t xml:space="preserve">🔴 </w:t>
            </w:r>
            <w:r>
              <w:rPr>
                <w:b/>
              </w:rPr>
              <w:t>À RETIRER AU GREFFE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</w:rPr>
              <w:t>9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ANNEXE 2 — Lettre d'engagement</w:t>
            </w:r>
            <w:r>
              <w:t xml:space="preserve"> à respecter les conditions du contrat d'achat, de vente et de prestation de service avec l'ONG ONEN</w:t>
            </w:r>
          </w:p>
        </w:tc>
        <w:tc>
          <w:tcPr>
            <w:tcW w:type="dxa" w:w="2436"/>
          </w:tcPr>
          <w:p>
            <w:r/>
            <w:r>
              <w:t>5 pts</w:t>
            </w:r>
          </w:p>
        </w:tc>
        <w:tc>
          <w:tcPr>
            <w:tcW w:type="dxa" w:w="2436"/>
          </w:tcPr>
          <w:p>
            <w:r/>
            <w:r>
              <w:t>✅ Rédigée</w:t>
            </w:r>
          </w:p>
        </w:tc>
      </w:tr>
    </w:tbl>
    <w:p/>
    <w:p>
      <w:r>
        <w:rPr>
          <w:b/>
        </w:rPr>
        <w:t>Sous-total Partie II : 25 / 25 points</w:t>
      </w:r>
    </w:p>
    <w:p>
      <w:pPr>
        <w:pStyle w:val="Heading2"/>
      </w:pPr>
      <w:r/>
      <w:r>
        <w:t xml:space="preserve">PARTIE III — CONFORMITÉS TECHNIQUES </w:t>
      </w:r>
      <w:r>
        <w:rPr>
          <w:i/>
        </w:rPr>
        <w:t>(45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N°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Document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Barème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b/>
              </w:rPr>
              <w:t>Statut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ANNEXE 3 — Tableau des expériences similaires</w:t>
            </w:r>
            <w:r>
              <w:t xml:space="preserve"> (minimum 3, maximum 5 expériences de confection et livraison de mobiliers scolaires)</w:t>
            </w:r>
          </w:p>
        </w:tc>
        <w:tc>
          <w:tcPr>
            <w:tcW w:type="dxa" w:w="2436"/>
          </w:tcPr>
          <w:p>
            <w:r/>
            <w:r>
              <w:t>25 pts (5 pts/expérience prouvée)</w:t>
            </w:r>
          </w:p>
        </w:tc>
        <w:tc>
          <w:tcPr>
            <w:tcW w:type="dxa" w:w="2436"/>
          </w:tcPr>
          <w:p>
            <w:r/>
            <w:r>
              <w:t xml:space="preserve">⚠️ </w:t>
            </w:r>
            <w:r>
              <w:rPr>
                <w:b/>
              </w:rPr>
              <w:t>À COMPLÉTER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</w:rPr>
              <w:t>11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Preuves des expériences</w:t>
            </w:r>
            <w:r>
              <w:t xml:space="preserve"> (une intercalaire par expérience, numérotée 11.1 à 11.5) : extrait de contrat, bon de commande, bon de livraison signé et cacheté par le client, attestation de bonne fin d'exécution</w:t>
            </w:r>
          </w:p>
        </w:tc>
        <w:tc>
          <w:tcPr>
            <w:tcW w:type="dxa" w:w="2436"/>
          </w:tcPr>
          <w:p>
            <w:r/>
            <w:r>
              <w:t>—</w:t>
            </w:r>
          </w:p>
        </w:tc>
        <w:tc>
          <w:tcPr>
            <w:tcW w:type="dxa" w:w="2436"/>
          </w:tcPr>
          <w:p>
            <w:r/>
            <w:r>
              <w:t xml:space="preserve">🔴 </w:t>
            </w:r>
            <w:r>
              <w:rPr>
                <w:b/>
              </w:rPr>
              <w:t>À COLLECTER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</w:rPr>
              <w:t>12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Liste complète des marchés similaires exécutés</w:t>
            </w:r>
            <w:r>
              <w:t xml:space="preserve"> (expérience en tant que prestataire — EUCAP Sahel, MCA-Niger, Nations Unies, HKI, OMS, Save the Children…), signée et cachetée</w:t>
            </w:r>
          </w:p>
        </w:tc>
        <w:tc>
          <w:tcPr>
            <w:tcW w:type="dxa" w:w="2436"/>
          </w:tcPr>
          <w:p>
            <w:r/>
            <w:r>
              <w:t>—</w:t>
            </w:r>
          </w:p>
        </w:tc>
        <w:tc>
          <w:tcPr>
            <w:tcW w:type="dxa" w:w="2436"/>
          </w:tcPr>
          <w:p>
            <w:r/>
            <w:r>
              <w:t>✅ Rédigée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</w:rPr>
              <w:t>13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Engagement sur le délai de garantie</w:t>
            </w:r>
            <w:r>
              <w:t xml:space="preserve"> — vingt-quatre (24) mois offerts (minimum exigé : 1 an)</w:t>
            </w:r>
          </w:p>
        </w:tc>
        <w:tc>
          <w:tcPr>
            <w:tcW w:type="dxa" w:w="2436"/>
          </w:tcPr>
          <w:p>
            <w:r/>
            <w:r>
              <w:t>10 pts</w:t>
            </w:r>
          </w:p>
        </w:tc>
        <w:tc>
          <w:tcPr>
            <w:tcW w:type="dxa" w:w="2436"/>
          </w:tcPr>
          <w:p>
            <w:r/>
            <w:r>
              <w:t>✅ Rédigé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</w:rPr>
              <w:t>14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Engagement sur le délai de livraison</w:t>
            </w:r>
            <w:r>
              <w:t xml:space="preserve"> — vingt (20) jours calendaires (minimum exigé : 20 jours)</w:t>
            </w:r>
          </w:p>
        </w:tc>
        <w:tc>
          <w:tcPr>
            <w:tcW w:type="dxa" w:w="2436"/>
          </w:tcPr>
          <w:p>
            <w:r/>
            <w:r>
              <w:t>10 pts</w:t>
            </w:r>
          </w:p>
        </w:tc>
        <w:tc>
          <w:tcPr>
            <w:tcW w:type="dxa" w:w="2436"/>
          </w:tcPr>
          <w:p>
            <w:r/>
            <w:r>
              <w:t>✅ Rédigé</w:t>
            </w:r>
          </w:p>
        </w:tc>
      </w:tr>
    </w:tbl>
    <w:p/>
    <w:p>
      <w:r>
        <w:rPr>
          <w:b/>
        </w:rPr>
        <w:t>Sous-total Partie III : 45 / 45 points → TOTAL TECHNIQUE VISÉ : 70 / 70 points</w:t>
      </w:r>
    </w:p>
    <w:p>
      <w:r>
        <w:rPr>
          <w:i/>
        </w:rPr>
        <w:t>(seuil éliminatoire : 40/70)</w:t>
      </w:r>
    </w:p>
    <w:p>
      <w:pPr>
        <w:pStyle w:val="Heading2"/>
      </w:pPr>
      <w:r/>
      <w:r>
        <w:t>PARTIE IV — MÉMOIRE TECHNIQUE ET PIÈCES D'APPUI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N°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Document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Statut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15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Mémoire technique</w:t>
            </w:r>
            <w:r>
              <w:t xml:space="preserve"> : fiches techniques article par article reprenant </w:t>
            </w:r>
            <w:r>
              <w:rPr>
                <w:b/>
              </w:rPr>
              <w:t>à l'identique</w:t>
            </w:r>
            <w:r>
              <w:t xml:space="preserve"> les spécifications des TDR, méthodologie de production, plan de charge, plan de livraison Dosso → chefs-lieux → 20 centres, dispositif de réception provisoire</w:t>
            </w:r>
          </w:p>
        </w:tc>
        <w:tc>
          <w:tcPr>
            <w:tcW w:type="dxa" w:w="3249"/>
          </w:tcPr>
          <w:p>
            <w:r/>
            <w:r>
              <w:t>✅ Rédigé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16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Déclarations particulières (art. XV des TDR)</w:t>
            </w:r>
            <w:r>
              <w:t xml:space="preserve"> : conflit d'intérêts, absence de condamnation, travail des enfants / travail forcé / discrimination (conventions OIT), conservation des documents pendant 5 ans et accès aux auditeurs</w:t>
            </w:r>
          </w:p>
        </w:tc>
        <w:tc>
          <w:tcPr>
            <w:tcW w:type="dxa" w:w="3249"/>
          </w:tcPr>
          <w:p>
            <w:r/>
            <w:r>
              <w:t>✅ Rédigées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17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Attestation de chiffre d'affaires</w:t>
            </w:r>
            <w:r>
              <w:t xml:space="preserve"> certifiée par le Cabinet YERO Audit &amp; Conseil (exercices 2023, 2024 et 2025)</w:t>
            </w:r>
          </w:p>
        </w:tc>
        <w:tc>
          <w:tcPr>
            <w:tcW w:type="dxa" w:w="3249"/>
          </w:tcPr>
          <w:p>
            <w:r/>
            <w:r>
              <w:t>📄 Disponible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18</w:t>
            </w:r>
          </w:p>
        </w:tc>
        <w:tc>
          <w:tcPr>
            <w:tcW w:type="dxa" w:w="3249"/>
          </w:tcPr>
          <w:p>
            <w:r/>
            <w:r>
              <w:t xml:space="preserve">Présentation de l'entreprise : atelier de menuiserie métallique et bois, équipements, effectif et organigramme de l'équipe affectée au marché </w:t>
            </w:r>
            <w:r>
              <w:rPr>
                <w:i/>
              </w:rPr>
              <w:t>(intégrée au mémoire technique)</w:t>
            </w:r>
          </w:p>
        </w:tc>
        <w:tc>
          <w:tcPr>
            <w:tcW w:type="dxa" w:w="3249"/>
          </w:tcPr>
          <w:p>
            <w:r/>
            <w:r>
              <w:t>✅ Rédigée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19</w:t>
            </w:r>
          </w:p>
        </w:tc>
        <w:tc>
          <w:tcPr>
            <w:tcW w:type="dxa" w:w="3249"/>
          </w:tcPr>
          <w:p>
            <w:r/>
            <w:r>
              <w:t>Attestation bancaire / RIB — compte MERCURE SARL (paiement par virement)</w:t>
            </w:r>
          </w:p>
        </w:tc>
        <w:tc>
          <w:tcPr>
            <w:tcW w:type="dxa" w:w="3249"/>
          </w:tcPr>
          <w:p>
            <w:r/>
            <w:r>
              <w:t xml:space="preserve">⚠️ </w:t>
            </w:r>
            <w:r>
              <w:rPr>
                <w:b/>
              </w:rPr>
              <w:t>À DEMANDER À LA BANQUE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20</w:t>
            </w:r>
          </w:p>
        </w:tc>
        <w:tc>
          <w:tcPr>
            <w:tcW w:type="dxa" w:w="3249"/>
          </w:tcPr>
          <w:p>
            <w:r/>
            <w:r>
              <w:t>Copie de la pièce d'identité du Directeur Général signataire (+ procuration si mandataire)</w:t>
            </w:r>
          </w:p>
        </w:tc>
        <w:tc>
          <w:tcPr>
            <w:tcW w:type="dxa" w:w="3249"/>
          </w:tcPr>
          <w:p>
            <w:r/>
            <w:r>
              <w:t xml:space="preserve">⚠️ </w:t>
            </w:r>
            <w:r>
              <w:rPr>
                <w:b/>
              </w:rPr>
              <w:t>À JOINDRE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21</w:t>
            </w:r>
          </w:p>
        </w:tc>
        <w:tc>
          <w:tcPr>
            <w:tcW w:type="dxa" w:w="3249"/>
          </w:tcPr>
          <w:p>
            <w:r/>
            <w:r>
              <w:t xml:space="preserve">Planche photos de réalisations antérieures de mobiliers — </w:t>
            </w:r>
            <w:r>
              <w:rPr>
                <w:i/>
              </w:rPr>
              <w:t>facultatif, valorise l'offre</w:t>
            </w:r>
          </w:p>
        </w:tc>
        <w:tc>
          <w:tcPr>
            <w:tcW w:type="dxa" w:w="3249"/>
          </w:tcPr>
          <w:p>
            <w:r/>
            <w:r>
              <w:t xml:space="preserve">⚠️ </w:t>
            </w:r>
            <w:r>
              <w:rPr>
                <w:b/>
              </w:rPr>
              <w:t>À PRÉPARER</w:t>
            </w:r>
          </w:p>
        </w:tc>
      </w:tr>
    </w:tbl>
    <w:p/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1"/>
      </w:pPr>
      <w:r/>
      <w:r>
        <w:t xml:space="preserve">ENVELOPPE B — OFFRE FINANCIÈRE </w:t>
      </w:r>
      <w:r>
        <w:rPr>
          <w:i/>
        </w:rPr>
        <w:t>(30 points)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N°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Document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Statut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22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Page de garde de l'offre financière</w:t>
            </w:r>
          </w:p>
        </w:tc>
        <w:tc>
          <w:tcPr>
            <w:tcW w:type="dxa" w:w="3249"/>
          </w:tcPr>
          <w:p>
            <w:r/>
            <w:r>
              <w:t xml:space="preserve">✅ </w:t>
            </w:r>
            <w:r>
              <w:rPr>
                <w:rFonts w:ascii="Consolas" w:hAnsi="Consolas"/>
              </w:rPr>
              <w:t>PAGE_DE_GARDE.pdf</w:t>
            </w:r>
            <w:r>
              <w:t xml:space="preserve"> (2ᵉ exemplaire)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23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Lettre de soumission financière</w:t>
            </w:r>
            <w:r>
              <w:t xml:space="preserve"> : montant total en chiffres et en lettres, en Francs CFA, validité de l'offre (90 jours)</w:t>
            </w:r>
          </w:p>
        </w:tc>
        <w:tc>
          <w:tcPr>
            <w:tcW w:type="dxa" w:w="3249"/>
          </w:tcPr>
          <w:p>
            <w:r/>
            <w:r>
              <w:t>⚠️ Montant à saisir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24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Devis quantitatif et estimatif détaillé</w:t>
            </w:r>
            <w:r>
              <w:t xml:space="preserve"> (prix unitaires, quantités, totaux), </w:t>
            </w:r>
            <w:r>
              <w:rPr>
                <w:b/>
              </w:rPr>
              <w:t>vérifié arithmétiquement</w:t>
            </w:r>
            <w:r>
              <w:t>, le total général devant être strictement conforme au montant annoncé dans la lettre</w:t>
            </w:r>
          </w:p>
        </w:tc>
        <w:tc>
          <w:tcPr>
            <w:tcW w:type="dxa" w:w="3249"/>
          </w:tcPr>
          <w:p>
            <w:r/>
            <w:r>
              <w:t>⚠️ Prix à arrêter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25</w:t>
            </w:r>
          </w:p>
        </w:tc>
        <w:tc>
          <w:tcPr>
            <w:tcW w:type="dxa" w:w="3249"/>
          </w:tcPr>
          <w:p>
            <w:r/>
            <w:r>
              <w:t xml:space="preserve">Récapitulatif financier (Total HT — prélèvement ISB de 2 % — net à percevoir), modalités de paiement, et </w:t>
            </w:r>
            <w:r>
              <w:rPr>
                <w:b/>
              </w:rPr>
              <w:t>attestation de dispense ISB</w:t>
            </w:r>
            <w:r>
              <w:t xml:space="preserve"> si MERCURE en dispose</w:t>
            </w:r>
          </w:p>
        </w:tc>
        <w:tc>
          <w:tcPr>
            <w:tcW w:type="dxa" w:w="3249"/>
          </w:tcPr>
          <w:p>
            <w:r/>
            <w:r>
              <w:t>⚠️ À vérifier à la DGI</w:t>
            </w:r>
          </w:p>
        </w:tc>
      </w:tr>
    </w:tbl>
    <w:p/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1"/>
      </w:pPr>
      <w:r/>
      <w:r>
        <w:t>MISE SOUS PLI ET DÉPÔT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N°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26</w:t>
            </w:r>
          </w:p>
        </w:tc>
        <w:tc>
          <w:tcPr>
            <w:tcW w:type="dxa" w:w="4873"/>
          </w:tcPr>
          <w:p>
            <w:r/>
            <w:r>
              <w:t>Parapher chaque page, signer et apposer le cachet MERCURE SARL sur toutes les pièces produites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27</w:t>
            </w:r>
          </w:p>
        </w:tc>
        <w:tc>
          <w:tcPr>
            <w:tcW w:type="dxa" w:w="4873"/>
          </w:tcPr>
          <w:p>
            <w:r/>
            <w:r>
              <w:t>Relire le devis (contrôle arithmétique ligne par ligne + total général)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28</w:t>
            </w:r>
          </w:p>
        </w:tc>
        <w:tc>
          <w:tcPr>
            <w:tcW w:type="dxa" w:w="4873"/>
          </w:tcPr>
          <w:p>
            <w:r/>
            <w:r>
              <w:t>Insérer l'offre technique dans l'enveloppe A fermée, l'offre financière dans l'enveloppe B fermée, chacune précédée de sa page de garde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29</w:t>
            </w:r>
          </w:p>
        </w:tc>
        <w:tc>
          <w:tcPr>
            <w:tcW w:type="dxa" w:w="4873"/>
          </w:tcPr>
          <w:p>
            <w:r/>
            <w:r>
              <w:t xml:space="preserve">Placer A et B dans le pli extérieur fermé, </w:t>
            </w:r>
            <w:r>
              <w:rPr>
                <w:b/>
              </w:rPr>
              <w:t>nom et cachet du soumissionnaire en haut à gauche</w:t>
            </w:r>
            <w:r>
              <w:t xml:space="preserve">, mention réglementaire au milieu (voir pièce </w:t>
            </w:r>
            <w:r>
              <w:rPr>
                <w:rFonts w:ascii="Consolas" w:hAnsi="Consolas"/>
              </w:rPr>
              <w:t>11_ETIQUETTES_ENVELOPPES.md</w:t>
            </w:r>
            <w: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30</w:t>
            </w:r>
          </w:p>
        </w:tc>
        <w:tc>
          <w:tcPr>
            <w:tcW w:type="dxa" w:w="4873"/>
          </w:tcPr>
          <w:p>
            <w:r/>
            <w:r>
              <w:t xml:space="preserve">Déposer au Bureau Régional de l'ONG ONEN Dosso, quartier Tondobon, ancien site de la clinique Toubal, de 9 h à 16 h — </w:t>
            </w:r>
            <w:r>
              <w:rPr>
                <w:b/>
              </w:rPr>
              <w:t>au plus tard le vendredi 04 septembre 2026</w:t>
            </w:r>
            <w:r>
              <w:t xml:space="preserve"> ; retirer un accusé de dépôt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</w:rPr>
              <w:t>31</w:t>
            </w:r>
          </w:p>
        </w:tc>
        <w:tc>
          <w:tcPr>
            <w:tcW w:type="dxa" w:w="4873"/>
          </w:tcPr>
          <w:p>
            <w:r/>
            <w:r>
              <w:t>Se présenter à la séance de dépouillement le même jour à 16 h 15</w:t>
            </w:r>
          </w:p>
        </w:tc>
      </w:tr>
    </w:tbl>
    <w:p/>
    <w:p>
      <w:pPr>
        <w:jc w:val="center"/>
      </w:pPr>
      <w:r>
        <w:rPr>
          <w:color w:val="999999"/>
        </w:rPr>
        <w:t>____________________________________________________________</w:t>
      </w:r>
    </w:p>
    <w:p>
      <w:pPr>
        <w:pStyle w:val="Heading2"/>
      </w:pPr>
      <w:r/>
      <w:r>
        <w:t>RÉCAPITULATIF DE LA NOTATION VISÉE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Volet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Points visés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Maximum</w:t>
            </w:r>
          </w:p>
        </w:tc>
      </w:tr>
      <w:tr>
        <w:tc>
          <w:tcPr>
            <w:tcW w:type="dxa" w:w="3249"/>
          </w:tcPr>
          <w:p>
            <w:r/>
            <w:r>
              <w:t>Conformités administratives et fiscales (pièces 5 à 9)</w:t>
            </w:r>
          </w:p>
        </w:tc>
        <w:tc>
          <w:tcPr>
            <w:tcW w:type="dxa" w:w="3249"/>
          </w:tcPr>
          <w:p>
            <w:r/>
            <w:r>
              <w:t>25</w:t>
            </w:r>
          </w:p>
        </w:tc>
        <w:tc>
          <w:tcPr>
            <w:tcW w:type="dxa" w:w="3249"/>
          </w:tcPr>
          <w:p>
            <w:r/>
            <w:r>
              <w:t>25</w:t>
            </w:r>
          </w:p>
        </w:tc>
      </w:tr>
      <w:tr>
        <w:tc>
          <w:tcPr>
            <w:tcW w:type="dxa" w:w="3249"/>
          </w:tcPr>
          <w:p>
            <w:r/>
            <w:r>
              <w:t>Expériences similaires prouvées (pièces 10 à 12)</w:t>
            </w:r>
          </w:p>
        </w:tc>
        <w:tc>
          <w:tcPr>
            <w:tcW w:type="dxa" w:w="3249"/>
          </w:tcPr>
          <w:p>
            <w:r/>
            <w:r>
              <w:t>25</w:t>
            </w:r>
          </w:p>
        </w:tc>
        <w:tc>
          <w:tcPr>
            <w:tcW w:type="dxa" w:w="3249"/>
          </w:tcPr>
          <w:p>
            <w:r/>
            <w:r>
              <w:t>25</w:t>
            </w:r>
          </w:p>
        </w:tc>
      </w:tr>
      <w:tr>
        <w:tc>
          <w:tcPr>
            <w:tcW w:type="dxa" w:w="3249"/>
          </w:tcPr>
          <w:p>
            <w:r/>
            <w:r>
              <w:t>Délai de garantie (pièce 13)</w:t>
            </w:r>
          </w:p>
        </w:tc>
        <w:tc>
          <w:tcPr>
            <w:tcW w:type="dxa" w:w="3249"/>
          </w:tcPr>
          <w:p>
            <w:r/>
            <w:r>
              <w:t>10</w:t>
            </w:r>
          </w:p>
        </w:tc>
        <w:tc>
          <w:tcPr>
            <w:tcW w:type="dxa" w:w="3249"/>
          </w:tcPr>
          <w:p>
            <w:r/>
            <w:r>
              <w:t>10</w:t>
            </w:r>
          </w:p>
        </w:tc>
      </w:tr>
      <w:tr>
        <w:tc>
          <w:tcPr>
            <w:tcW w:type="dxa" w:w="3249"/>
          </w:tcPr>
          <w:p>
            <w:r/>
            <w:r>
              <w:t>Délai de livraison (pièce 14)</w:t>
            </w:r>
          </w:p>
        </w:tc>
        <w:tc>
          <w:tcPr>
            <w:tcW w:type="dxa" w:w="3249"/>
          </w:tcPr>
          <w:p>
            <w:r/>
            <w:r>
              <w:t>10</w:t>
            </w:r>
          </w:p>
        </w:tc>
        <w:tc>
          <w:tcPr>
            <w:tcW w:type="dxa" w:w="3249"/>
          </w:tcPr>
          <w:p>
            <w:r/>
            <w:r>
              <w:t>10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</w:rPr>
              <w:t>Note technique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70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70</w:t>
            </w:r>
          </w:p>
        </w:tc>
      </w:tr>
      <w:tr>
        <w:tc>
          <w:tcPr>
            <w:tcW w:type="dxa" w:w="3249"/>
          </w:tcPr>
          <w:p>
            <w:r/>
            <w:r>
              <w:t>Note financière (mieux disant)</w:t>
            </w:r>
          </w:p>
        </w:tc>
        <w:tc>
          <w:tcPr>
            <w:tcW w:type="dxa" w:w="3249"/>
          </w:tcPr>
          <w:p>
            <w:r/>
            <w:r>
              <w:t>selon classement</w:t>
            </w:r>
          </w:p>
        </w:tc>
        <w:tc>
          <w:tcPr>
            <w:tcW w:type="dxa" w:w="3249"/>
          </w:tcPr>
          <w:p>
            <w:r/>
            <w:r>
              <w:t>30</w:t>
            </w:r>
          </w:p>
        </w:tc>
      </w:tr>
    </w:tbl>
    <w:p/>
    <w:p>
      <w:r>
        <w:rPr>
          <w:i/>
        </w:rPr>
        <w:t>Établi par le Service Commercial — MERCURE SARL, Niamey.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