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ENGAGEMENT SUR LE DÉLAI DE LIVRAISON ET LE DÉLAI DE GARANTIE</w:t>
      </w:r>
    </w:p>
    <w:p>
      <w:r>
        <w:rPr>
          <w:i/>
        </w:rPr>
        <w:t>(à imprimer sur papier à en-tête MERCURE SARL — pièces notées 10 + 10 points)</w:t>
      </w:r>
    </w:p>
    <w:p>
      <w:pPr>
        <w:jc w:val="center"/>
      </w:pPr>
      <w:r>
        <w:rPr>
          <w:color w:val="999999"/>
        </w:rPr>
        <w:t>____________________________________________________________</w:t>
      </w:r>
    </w:p>
    <w:p>
      <w:r>
        <w:rPr>
          <w:b/>
        </w:rPr>
        <w:t>À Monsieur le Coordinateur Régional de l'ONG ONEN Dosso</w:t>
      </w:r>
    </w:p>
    <w:p>
      <w:r>
        <w:rPr>
          <w:b/>
        </w:rPr>
        <w:t>Objet : Engagement sur les délais — AO N° 007/2026/ONEN/FONDATION STROMME/DO</w:t>
      </w:r>
    </w:p>
    <w:p>
      <w:r>
        <w:t>Monsieur le Coordinateur Régional,</w:t>
      </w:r>
    </w:p>
    <w:p>
      <w:r>
        <w:t xml:space="preserve">Dans le cadre de l'appel d'offres cité en objet, la société </w:t>
      </w:r>
      <w:r>
        <w:rPr>
          <w:b/>
        </w:rPr>
        <w:t>MERCURE SARL</w:t>
      </w:r>
      <w:r>
        <w:t xml:space="preserve"> prend les engagements fermes suivants :</w:t>
      </w:r>
    </w:p>
    <w:p>
      <w:pPr>
        <w:pStyle w:val="Heading2"/>
      </w:pPr>
      <w:r/>
      <w:r>
        <w:t>1. DÉLAI DE LIVRAISON : VINGT (20) JOURS CALENDAIRES</w:t>
      </w:r>
    </w:p>
    <w:p>
      <w:r>
        <w:t xml:space="preserve">Le délai de livraison proposé est de </w:t>
      </w:r>
      <w:r>
        <w:rPr>
          <w:b/>
        </w:rPr>
        <w:t>vingt (20) jours calendaires</w:t>
      </w:r>
      <w:r>
        <w:t>, à compter de la date de notification du marché ou de la réception du bon de commande. Ce délai couvre la confection, le contrôle qualité, le transport et la livraison de la totalité des mobiliers :</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Phase</w:t>
            </w:r>
          </w:p>
        </w:tc>
        <w:tc>
          <w:tcPr>
            <w:tcW w:type="dxa" w:w="3249"/>
          </w:tcPr>
          <w:p>
            <w:r>
              <w:rPr>
                <w:b/>
              </w:rPr>
            </w:r>
            <w:r>
              <w:rPr>
                <w:b/>
              </w:rPr>
              <w:t>Contenu</w:t>
            </w:r>
          </w:p>
        </w:tc>
        <w:tc>
          <w:tcPr>
            <w:tcW w:type="dxa" w:w="3249"/>
          </w:tcPr>
          <w:p>
            <w:r>
              <w:rPr>
                <w:b/>
              </w:rPr>
            </w:r>
            <w:r>
              <w:rPr>
                <w:b/>
              </w:rPr>
              <w:t>Jours (calendaires)</w:t>
            </w:r>
          </w:p>
        </w:tc>
      </w:tr>
      <w:tr>
        <w:tc>
          <w:tcPr>
            <w:tcW w:type="dxa" w:w="3249"/>
          </w:tcPr>
          <w:p>
            <w:r/>
            <w:r>
              <w:t>Phase 1</w:t>
            </w:r>
          </w:p>
        </w:tc>
        <w:tc>
          <w:tcPr>
            <w:tcW w:type="dxa" w:w="3249"/>
          </w:tcPr>
          <w:p>
            <w:r/>
            <w:r>
              <w:t>Approvisionnement en matières premières (tubes carrés, contreplaqués, tôles, peinture, quincaillerie) et lancement atelier</w:t>
            </w:r>
          </w:p>
        </w:tc>
        <w:tc>
          <w:tcPr>
            <w:tcW w:type="dxa" w:w="3249"/>
          </w:tcPr>
          <w:p>
            <w:r/>
            <w:r>
              <w:t>J1 → J4</w:t>
            </w:r>
          </w:p>
        </w:tc>
      </w:tr>
      <w:tr>
        <w:tc>
          <w:tcPr>
            <w:tcW w:type="dxa" w:w="3249"/>
          </w:tcPr>
          <w:p>
            <w:r/>
            <w:r>
              <w:t>Phase 2</w:t>
            </w:r>
          </w:p>
        </w:tc>
        <w:tc>
          <w:tcPr>
            <w:tcW w:type="dxa" w:w="3249"/>
          </w:tcPr>
          <w:p>
            <w:r/>
            <w:r>
              <w:t>Confection des 200 tables-bancs, 20 bureaux et 20 chaises</w:t>
            </w:r>
          </w:p>
        </w:tc>
        <w:tc>
          <w:tcPr>
            <w:tcW w:type="dxa" w:w="3249"/>
          </w:tcPr>
          <w:p>
            <w:r/>
            <w:r>
              <w:t>J3 → J13</w:t>
            </w:r>
          </w:p>
        </w:tc>
      </w:tr>
      <w:tr>
        <w:tc>
          <w:tcPr>
            <w:tcW w:type="dxa" w:w="3249"/>
          </w:tcPr>
          <w:p>
            <w:r/>
            <w:r>
              <w:t>Phase 3</w:t>
            </w:r>
          </w:p>
        </w:tc>
        <w:tc>
          <w:tcPr>
            <w:tcW w:type="dxa" w:w="3249"/>
          </w:tcPr>
          <w:p>
            <w:r/>
            <w:r>
              <w:t>Confection des 20 tableaux à chevalet, fourniture des 20 règles graduées et confection des 20 cadres de hangars métalliques</w:t>
            </w:r>
          </w:p>
        </w:tc>
        <w:tc>
          <w:tcPr>
            <w:tcW w:type="dxa" w:w="3249"/>
          </w:tcPr>
          <w:p>
            <w:r/>
            <w:r>
              <w:t>J6 → J15</w:t>
            </w:r>
          </w:p>
        </w:tc>
      </w:tr>
      <w:tr>
        <w:tc>
          <w:tcPr>
            <w:tcW w:type="dxa" w:w="3249"/>
          </w:tcPr>
          <w:p>
            <w:r/>
            <w:r>
              <w:t>Phase 4</w:t>
            </w:r>
          </w:p>
        </w:tc>
        <w:tc>
          <w:tcPr>
            <w:tcW w:type="dxa" w:w="3249"/>
          </w:tcPr>
          <w:p>
            <w:r/>
            <w:r>
              <w:t>Antirouille, peinture à huile grise, séchage et contrôle qualité interne</w:t>
            </w:r>
          </w:p>
        </w:tc>
        <w:tc>
          <w:tcPr>
            <w:tcW w:type="dxa" w:w="3249"/>
          </w:tcPr>
          <w:p>
            <w:r/>
            <w:r>
              <w:t>J10 → J17</w:t>
            </w:r>
          </w:p>
        </w:tc>
      </w:tr>
      <w:tr>
        <w:tc>
          <w:tcPr>
            <w:tcW w:type="dxa" w:w="3249"/>
          </w:tcPr>
          <w:p>
            <w:r/>
            <w:r>
              <w:t>Phase 5</w:t>
            </w:r>
          </w:p>
        </w:tc>
        <w:tc>
          <w:tcPr>
            <w:tcW w:type="dxa" w:w="3249"/>
          </w:tcPr>
          <w:p>
            <w:r/>
            <w:r>
              <w:t>Transport Niamey → chefs-lieux de Koygolo et de Sokorbé, vérification contradictoire et réception provisoire</w:t>
            </w:r>
          </w:p>
        </w:tc>
        <w:tc>
          <w:tcPr>
            <w:tcW w:type="dxa" w:w="3249"/>
          </w:tcPr>
          <w:p>
            <w:r/>
            <w:r>
              <w:t>J17 → J19</w:t>
            </w:r>
          </w:p>
        </w:tc>
      </w:tr>
      <w:tr>
        <w:tc>
          <w:tcPr>
            <w:tcW w:type="dxa" w:w="3249"/>
          </w:tcPr>
          <w:p>
            <w:r/>
            <w:r>
              <w:t>Phase 6</w:t>
            </w:r>
          </w:p>
        </w:tc>
        <w:tc>
          <w:tcPr>
            <w:tcW w:type="dxa" w:w="3249"/>
          </w:tcPr>
          <w:p>
            <w:r/>
            <w:r>
              <w:t>Acheminement et déchargement dans les 20 centres SSA/P, signature des bordereaux de réception par les comités de gestion</w:t>
            </w:r>
          </w:p>
        </w:tc>
        <w:tc>
          <w:tcPr>
            <w:tcW w:type="dxa" w:w="3249"/>
          </w:tcPr>
          <w:p>
            <w:r/>
            <w:r>
              <w:t>J19 → J20</w:t>
            </w:r>
          </w:p>
        </w:tc>
      </w:tr>
    </w:tbl>
    <w:p/>
    <w:p>
      <w:r>
        <w:t xml:space="preserve">Ce délai est </w:t>
      </w:r>
      <w:r>
        <w:rPr>
          <w:b/>
        </w:rPr>
        <w:t>ferme</w:t>
      </w:r>
      <w:r>
        <w:t>. Nous ne le dépasserons pas sans accord préalable de l'ONG ONEN, sollicité par demande écrite adressée au Coordinateur Régional, et nous acceptons sans réserve les pénalités de retard prévues à l'article 14.5 des TDR.</w:t>
      </w:r>
    </w:p>
    <w:p>
      <w:pPr>
        <w:pStyle w:val="Heading2"/>
      </w:pPr>
      <w:r/>
      <w:r>
        <w:t>2. DÉLAI DE GARANTIE : VINGT-QUATRE (24) MOIS</w:t>
      </w:r>
    </w:p>
    <w:p>
      <w:r>
        <w:t xml:space="preserve">Nous offrons une garantie de </w:t>
      </w:r>
      <w:r>
        <w:rPr>
          <w:b/>
        </w:rPr>
        <w:t>vingt-quatre (24) mois</w:t>
      </w:r>
      <w:r>
        <w:t>, soit le double du minimum exigé, à compter de la date de réception provisoire. Cette garantie couvre :</w:t>
      </w:r>
    </w:p>
    <w:p>
      <w:pPr>
        <w:pStyle w:val="ListBullet"/>
      </w:pPr>
      <w:r>
        <w:t>tout vice de fabrication (soudures, assemblages, fixations) ;</w:t>
      </w:r>
    </w:p>
    <w:p>
      <w:pPr>
        <w:pStyle w:val="ListBullet"/>
      </w:pPr>
      <w:r>
        <w:t>toute déformation, rupture ou décollement anormal des plateaux, bancs et casiers ;</w:t>
      </w:r>
    </w:p>
    <w:p>
      <w:pPr>
        <w:pStyle w:val="ListBullet"/>
      </w:pPr>
      <w:r>
        <w:t>tout défaut de traitement antirouille ou de peinture apparaissant en usage normal ;</w:t>
      </w:r>
    </w:p>
    <w:p>
      <w:pPr>
        <w:pStyle w:val="ListBullet"/>
      </w:pPr>
      <w:r>
        <w:t>la stabilité et la tenue des cadres de hangars métalliques, y compris des parties enfouies.</w:t>
      </w:r>
    </w:p>
    <w:p>
      <w:r>
        <w:t xml:space="preserve">Pendant cette période, </w:t>
      </w:r>
      <w:r>
        <w:rPr>
          <w:b/>
        </w:rPr>
        <w:t>la réparation ou le remplacement est effectué sur site, à nos frais exclusifs</w:t>
      </w:r>
      <w:r>
        <w:t xml:space="preserve"> (pièces, main-d'œuvre et transport), dans un délai maximum de </w:t>
      </w:r>
      <w:r>
        <w:rPr>
          <w:b/>
        </w:rPr>
        <w:t>dix (10) jours</w:t>
      </w:r>
      <w:r>
        <w:t xml:space="preserve"> suivant la notification écrite du défaut par l'ONG ONEN, la mairie ou le comité de gestion du centre concerné.</w:t>
      </w:r>
    </w:p>
    <w:p>
      <w:r>
        <w:t>Veuillez agréer, Monsieur le Coordinateur Régional, l'expression de notre considération distinguée.</w:t>
      </w:r>
    </w:p>
    <w:p>
      <w:r>
        <w:t>Fait à Niamey, le ……… / ……… / 2026</w:t>
      </w:r>
    </w:p>
    <w:p>
      <w:r>
        <w:rPr>
          <w:b/>
        </w:rPr>
        <w:t>Le Directeur Général — M. William TANOUS MELHEM AWAD</w:t>
      </w:r>
    </w:p>
    <w:p>
      <w:r>
        <w:rPr>
          <w:i/>
        </w:rPr>
        <w:t>(Signature et cachet)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