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SOMMAIRE DE L'OFFRE FINANCIÈRE</w:t>
      </w:r>
    </w:p>
    <w:p>
      <w:r>
        <w:rPr>
          <w:b/>
        </w:rPr>
        <w:t>Soumissionnaire : MERCURE SARL</w:t>
      </w:r>
      <w:r>
        <w:t xml:space="preserve"> — 41, Rue de la COPRO — BP : 11 974 Niamey — Niger RCCM : NI-NIM-2004-B 717 — NIF : 1392/R</w:t>
      </w:r>
    </w:p>
    <w:p>
      <w:r>
        <w:rPr>
          <w:b/>
        </w:rPr>
        <w:t>Appel d'offres ouvert N° 007/2026/ONEN/FONDATION STROMME/DO</w:t>
      </w:r>
      <w:r>
        <w:t xml:space="preserve"> « Confection des mobiliers scolaires au profit des centres SSA/P des communes rurales de Koygolo et de Sokorbé »</w:t>
      </w:r>
    </w:p>
    <w:p>
      <w:r>
        <w:rPr>
          <w:b/>
        </w:rPr>
        <w:t>ENVELOPPE B — OFFRE FINANCIÈRE — Lot unique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N°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Pièce</w:t>
            </w:r>
          </w:p>
        </w:tc>
      </w:tr>
      <w:tr>
        <w:tc>
          <w:tcPr>
            <w:tcW w:type="dxa" w:w="4873"/>
          </w:tcPr>
          <w:p>
            <w:r/>
            <w:r>
              <w:t>22</w:t>
            </w:r>
          </w:p>
        </w:tc>
        <w:tc>
          <w:tcPr>
            <w:tcW w:type="dxa" w:w="4873"/>
          </w:tcPr>
          <w:p>
            <w:r/>
            <w:r>
              <w:t>Page de garde</w:t>
            </w:r>
          </w:p>
        </w:tc>
      </w:tr>
      <w:tr>
        <w:tc>
          <w:tcPr>
            <w:tcW w:type="dxa" w:w="4873"/>
          </w:tcPr>
          <w:p>
            <w:r/>
            <w:r>
              <w:t>23</w:t>
            </w:r>
          </w:p>
        </w:tc>
        <w:tc>
          <w:tcPr>
            <w:tcW w:type="dxa" w:w="4873"/>
          </w:tcPr>
          <w:p>
            <w:r/>
            <w:r>
              <w:t>Sommaire de l'offre financière</w:t>
            </w:r>
          </w:p>
        </w:tc>
      </w:tr>
      <w:tr>
        <w:tc>
          <w:tcPr>
            <w:tcW w:type="dxa" w:w="4873"/>
          </w:tcPr>
          <w:p>
            <w:r/>
            <w:r>
              <w:t>24</w:t>
            </w:r>
          </w:p>
        </w:tc>
        <w:tc>
          <w:tcPr>
            <w:tcW w:type="dxa" w:w="4873"/>
          </w:tcPr>
          <w:p>
            <w:r/>
            <w:r>
              <w:t>Lettre de soumission de l'offre financière</w:t>
            </w:r>
          </w:p>
        </w:tc>
      </w:tr>
      <w:tr>
        <w:tc>
          <w:tcPr>
            <w:tcW w:type="dxa" w:w="4873"/>
          </w:tcPr>
          <w:p>
            <w:r/>
            <w:r>
              <w:t>25</w:t>
            </w:r>
          </w:p>
        </w:tc>
        <w:tc>
          <w:tcPr>
            <w:tcW w:type="dxa" w:w="4873"/>
          </w:tcPr>
          <w:p>
            <w:r/>
            <w:r>
              <w:t>Devis quantitatif et estimatif détaillé</w:t>
            </w:r>
          </w:p>
        </w:tc>
      </w:tr>
    </w:tbl>
    <w:p/>
    <w:p>
      <w:r>
        <w:t xml:space="preserve">Fait à Niamey, le ……… / ……… / 2026 — </w:t>
      </w:r>
      <w:r>
        <w:rPr>
          <w:b/>
        </w:rPr>
        <w:t>Le Directeur Général, M. William TANOUS MELHEM AWAD</w:t>
      </w:r>
    </w:p>
    <w:p>
      <w:r>
        <w:rPr>
          <w:i/>
        </w:rPr>
        <w:t>(Signature et cachet)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1"/>
      </w:pPr>
      <w:r/>
      <w:r>
        <w:t>LETTRE DE SOUMISSION DE L'OFFRE FINANCIÈRE</w:t>
      </w:r>
    </w:p>
    <w:p>
      <w:r>
        <w:rPr>
          <w:b/>
        </w:rPr>
        <w:t>ENVELOPPE B — OFFRE FINANCIÈRE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r>
        <w:rPr>
          <w:b/>
        </w:rPr>
        <w:t>À Monsieur le Coordinateur Régional de l'ONG ONEN Dosso</w:t>
      </w:r>
      <w:r>
        <w:t xml:space="preserve"> BP : 2932 — Quartier Tondobon, Dosso</w:t>
      </w:r>
    </w:p>
    <w:p>
      <w:r>
        <w:rPr>
          <w:b/>
        </w:rPr>
        <w:t>Objet : Offre financière — AO N° 007/2026/ONEN/FONDATION STROMME/DO</w:t>
      </w:r>
      <w:r>
        <w:t xml:space="preserve"> « Confection des mobiliers scolaires au profit des centres SSA/P des communes rurales de Koygolo et de Sokorbé — Lot unique »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r>
        <w:t>Monsieur le Coordinateur Régional,</w:t>
      </w:r>
    </w:p>
    <w:p>
      <w:r>
        <w:t xml:space="preserve">Après examen des Termes de Référence et de leurs annexes, la société </w:t>
      </w:r>
      <w:r>
        <w:rPr>
          <w:b/>
        </w:rPr>
        <w:t>MERCURE SARL</w:t>
      </w:r>
      <w:r>
        <w:t xml:space="preserve"> s'engage à exécuter la totalité de la prestation — confection, fourniture, transport, livraison dans les chefs-lieux des communes de Koygolo et de Sokorbé puis acheminement dans les vingt (20) centres SSA/P — pour un montant total de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Montant (FCFA)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Montant total hors taxes (HT)</w:t>
            </w:r>
          </w:p>
        </w:tc>
        <w:tc>
          <w:tcPr>
            <w:tcW w:type="dxa" w:w="4873"/>
          </w:tcPr>
          <w:p>
            <w:r/>
            <w:r>
              <w:t>………………………………</w:t>
            </w:r>
          </w:p>
        </w:tc>
      </w:tr>
      <w:tr>
        <w:tc>
          <w:tcPr>
            <w:tcW w:type="dxa" w:w="4873"/>
          </w:tcPr>
          <w:p>
            <w:r/>
            <w:r>
              <w:t>Prélèvement ISB de 2 % reversé au Trésor Public (art. 14.1 des TDR)</w:t>
            </w:r>
          </w:p>
        </w:tc>
        <w:tc>
          <w:tcPr>
            <w:tcW w:type="dxa" w:w="4873"/>
          </w:tcPr>
          <w:p>
            <w:r/>
            <w:r>
              <w:t>………………………………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Net à percevoir par MERCURE SARL</w:t>
            </w:r>
          </w:p>
        </w:tc>
        <w:tc>
          <w:tcPr>
            <w:tcW w:type="dxa" w:w="4873"/>
          </w:tcPr>
          <w:p>
            <w:r/>
            <w:r>
              <w:t>………………………………</w:t>
            </w:r>
          </w:p>
        </w:tc>
      </w:tr>
    </w:tbl>
    <w:p/>
    <w:p>
      <w:r>
        <w:rPr>
          <w:b/>
        </w:rPr>
        <w:t>Montant total de l'offre, en toutes lettres :</w:t>
      </w:r>
    </w:p>
    <w:p>
      <w:r>
        <w:t>…………………………………………………………………………………………………………………………………… …………………………………………………………………………… Francs CFA.</w:t>
      </w:r>
    </w:p>
    <w:p>
      <w:r>
        <w:t xml:space="preserve">Le détail de ce montant figure dans le </w:t>
      </w:r>
      <w:r>
        <w:rPr>
          <w:b/>
        </w:rPr>
        <w:t>devis quantitatif et estimatif</w:t>
      </w:r>
      <w:r>
        <w:t xml:space="preserve"> joint à la présente lettre, dont chaque ligne a été vérifiée arithmétiquement et dont le total général est strictement conforme au montant ci-dessus.</w:t>
      </w:r>
    </w:p>
    <w:p>
      <w:r>
        <w:rPr>
          <w:b/>
        </w:rPr>
        <w:t>Conditions de l'offre :</w:t>
      </w:r>
    </w:p>
    <w:p>
      <w:pPr>
        <w:pStyle w:val="ListBullet"/>
      </w:pPr>
      <w:r>
        <w:rPr>
          <w:b/>
        </w:rPr>
        <w:t>Monnaie :</w:t>
      </w:r>
      <w:r>
        <w:t xml:space="preserve"> Franc CFA (FCFA), conformément à l'article 14.2 des TDR ;</w:t>
      </w:r>
    </w:p>
    <w:p>
      <w:pPr>
        <w:pStyle w:val="ListBullet"/>
      </w:pPr>
      <w:r>
        <w:rPr>
          <w:b/>
        </w:rPr>
        <w:t>Validité de l'offre :</w:t>
      </w:r>
      <w:r>
        <w:t xml:space="preserve"> quatre-vingt-dix (90) jours à compter de la date limite de dépôt ;</w:t>
      </w:r>
    </w:p>
    <w:p>
      <w:pPr>
        <w:pStyle w:val="ListBullet"/>
      </w:pPr>
      <w:r>
        <w:rPr>
          <w:b/>
        </w:rPr>
        <w:t>Délai de livraison :</w:t>
      </w:r>
      <w:r>
        <w:t xml:space="preserve"> vingt (20) jours calendaires à compter de la notification ;</w:t>
      </w:r>
    </w:p>
    <w:p>
      <w:pPr>
        <w:pStyle w:val="ListBullet"/>
      </w:pPr>
      <w:r>
        <w:rPr>
          <w:b/>
        </w:rPr>
        <w:t>Délai de garantie :</w:t>
      </w:r>
      <w:r>
        <w:t xml:space="preserve"> vingt-quatre (24) mois à compter de la réception provisoire ;</w:t>
      </w:r>
    </w:p>
    <w:p>
      <w:pPr>
        <w:pStyle w:val="ListBullet"/>
      </w:pPr>
      <w:r>
        <w:rPr>
          <w:b/>
        </w:rPr>
        <w:t>Prix :</w:t>
      </w:r>
      <w:r>
        <w:t xml:space="preserve"> fermes, non révisables, incluant les matières premières, la main-d'œuvre, la</w:t>
      </w:r>
    </w:p>
    <w:p>
      <w:r>
        <w:t>finition, le conditionnement, le chargement, le transport jusqu'aux chefs-lieux des deux communes, l'acheminement dans les 20 centres, le déchargement et le montage sur site ;</w:t>
      </w:r>
    </w:p>
    <w:p>
      <w:pPr>
        <w:pStyle w:val="ListBullet"/>
      </w:pPr>
      <w:r>
        <w:rPr>
          <w:b/>
        </w:rPr>
        <w:t>Modalités de paiement :</w:t>
      </w:r>
      <w:r>
        <w:t xml:space="preserve"> par virement bancaire ou par chèque au nom de </w:t>
      </w:r>
      <w:r>
        <w:rPr>
          <w:b/>
        </w:rPr>
        <w:t>MERCURE SARL</w:t>
      </w:r>
    </w:p>
    <w:p>
      <w:r>
        <w:t>(attestation bancaire / RIB joints), après réception provisoire et décharge des bordereaux de réception ;</w:t>
      </w:r>
    </w:p>
    <w:p>
      <w:pPr>
        <w:pStyle w:val="ListBullet"/>
      </w:pPr>
      <w:r>
        <w:rPr>
          <w:b/>
        </w:rPr>
        <w:t>Fiscalité :</w:t>
      </w:r>
      <w:r>
        <w:t xml:space="preserve"> MERCURE SARL étant immatriculée sous le NIF 1392/R, nous prenons acte du</w:t>
      </w:r>
    </w:p>
    <w:p>
      <w:r>
        <w:t>prélèvement de 2 % du montant total de la commande, versé directement au Trésor Public, sauf production d'une attestation de dispense ISB.</w:t>
      </w:r>
    </w:p>
    <w:p>
      <w:r>
        <w:t>Veuillez agréer, Monsieur le Coordinateur Régional, l'expression de notre considération distinguée.</w:t>
      </w:r>
    </w:p>
    <w:p>
      <w:r>
        <w:t>Fait à Niamey, le ……… / ……… / 2026</w:t>
      </w:r>
    </w:p>
    <w:p>
      <w:r>
        <w:rPr>
          <w:b/>
        </w:rPr>
        <w:t>Le Directeur Général — M. William TANOUS MELHEM AWAD</w:t>
      </w:r>
    </w:p>
    <w:p>
      <w:r>
        <w:rPr>
          <w:i/>
        </w:rPr>
        <w:t>(Signature et cachet)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1"/>
      </w:pPr>
      <w:r/>
      <w:r>
        <w:t>DEVIS QUANTITATIF ET ESTIMATIF</w:t>
      </w:r>
    </w:p>
    <w:p>
      <w:r>
        <w:rPr>
          <w:b/>
        </w:rPr>
        <w:t>MERCURE SARL — RCCM : NI-NIM-2004-B-717 — NIF : 1392/R</w:t>
      </w:r>
    </w:p>
    <w:p>
      <w:r>
        <w:rPr>
          <w:b/>
        </w:rPr>
        <w:t>AO N° 007/2026/ONEN/FONDATION STROMME/DO — Lot unique</w:t>
      </w:r>
    </w:p>
    <w:p>
      <w:r>
        <w:rPr>
          <w:b/>
        </w:rPr>
        <w:t>Monnaie : Franc CFA (FCFA)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N°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Désignation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Spécifications essentielles (TDR)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Unité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Qté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Prix unitaire (FCFA)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Montant total (FCFA)</w:t>
            </w:r>
          </w:p>
        </w:tc>
      </w:tr>
      <w:tr>
        <w:tc>
          <w:tcPr>
            <w:tcW w:type="dxa" w:w="1392"/>
          </w:tcPr>
          <w:p>
            <w:r/>
            <w:r>
              <w:t>1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Tables-bancs</w:t>
            </w:r>
          </w:p>
        </w:tc>
        <w:tc>
          <w:tcPr>
            <w:tcW w:type="dxa" w:w="1392"/>
          </w:tcPr>
          <w:p>
            <w:r/>
            <w:r>
              <w:t>Tube carré lourd 2,50 mm ; plateau et banc en bois blanc ou contreplaqué 15 mm doublé ; H 0,70 m ; L 1,20 m ; largeur table 37 cm ; casier en contreplaqué 10 mm</w:t>
            </w:r>
          </w:p>
        </w:tc>
        <w:tc>
          <w:tcPr>
            <w:tcW w:type="dxa" w:w="1392"/>
          </w:tcPr>
          <w:p>
            <w:r/>
            <w:r>
              <w:t>U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200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</w:tr>
      <w:tr>
        <w:tc>
          <w:tcPr>
            <w:tcW w:type="dxa" w:w="1392"/>
          </w:tcPr>
          <w:p>
            <w:r/>
            <w:r>
              <w:t>2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Tables (bureaux) enseignant</w:t>
            </w:r>
          </w:p>
        </w:tc>
        <w:tc>
          <w:tcPr>
            <w:tcW w:type="dxa" w:w="1392"/>
          </w:tcPr>
          <w:p>
            <w:r/>
            <w:r>
              <w:t>Cadre tube carré lourd 30 mm ; dessus contreplaqué 20 mm ; 1,20 m × 0,60 m ; peinture à huile grise</w:t>
            </w:r>
          </w:p>
        </w:tc>
        <w:tc>
          <w:tcPr>
            <w:tcW w:type="dxa" w:w="1392"/>
          </w:tcPr>
          <w:p>
            <w:r/>
            <w:r>
              <w:t>U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20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</w:tr>
      <w:tr>
        <w:tc>
          <w:tcPr>
            <w:tcW w:type="dxa" w:w="1392"/>
          </w:tcPr>
          <w:p>
            <w:r/>
            <w:r>
              <w:t>3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Chaises pour animateurs</w:t>
            </w:r>
          </w:p>
        </w:tc>
        <w:tc>
          <w:tcPr>
            <w:tcW w:type="dxa" w:w="1392"/>
          </w:tcPr>
          <w:p>
            <w:r/>
            <w:r>
              <w:t>Tube carré lourd 25 / 1,25 ; tôle 8/10 ; peinture à huile grise</w:t>
            </w:r>
          </w:p>
        </w:tc>
        <w:tc>
          <w:tcPr>
            <w:tcW w:type="dxa" w:w="1392"/>
          </w:tcPr>
          <w:p>
            <w:r/>
            <w:r>
              <w:t>U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20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</w:tr>
      <w:tr>
        <w:tc>
          <w:tcPr>
            <w:tcW w:type="dxa" w:w="1392"/>
          </w:tcPr>
          <w:p>
            <w:r/>
            <w:r>
              <w:t>4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Tableaux à chevalet</w:t>
            </w:r>
          </w:p>
        </w:tc>
        <w:tc>
          <w:tcPr>
            <w:tcW w:type="dxa" w:w="1392"/>
          </w:tcPr>
          <w:p>
            <w:r/>
            <w:r>
              <w:t>Panneau contreplaqué 18 mm, 224 cm × 122 cm, baguette 5 cm sur les deux faces ; chevalet 2 pieds en tube carré 30 mm / 1,25 mm</w:t>
            </w:r>
          </w:p>
        </w:tc>
        <w:tc>
          <w:tcPr>
            <w:tcW w:type="dxa" w:w="1392"/>
          </w:tcPr>
          <w:p>
            <w:r/>
            <w:r>
              <w:t>U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20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</w:tr>
      <w:tr>
        <w:tc>
          <w:tcPr>
            <w:tcW w:type="dxa" w:w="1392"/>
          </w:tcPr>
          <w:p>
            <w:r/>
            <w:r>
              <w:t>5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Règles plastiques graduées</w:t>
            </w:r>
          </w:p>
        </w:tc>
        <w:tc>
          <w:tcPr>
            <w:tcW w:type="dxa" w:w="1392"/>
          </w:tcPr>
          <w:p>
            <w:r/>
            <w:r>
              <w:t>Règle plastique graduée de 1 m</w:t>
            </w:r>
          </w:p>
        </w:tc>
        <w:tc>
          <w:tcPr>
            <w:tcW w:type="dxa" w:w="1392"/>
          </w:tcPr>
          <w:p>
            <w:r/>
            <w:r>
              <w:t>U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20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</w:tr>
      <w:tr>
        <w:tc>
          <w:tcPr>
            <w:tcW w:type="dxa" w:w="1392"/>
          </w:tcPr>
          <w:p>
            <w:r/>
            <w:r>
              <w:t>6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Cadres de hangars métalliques</w:t>
            </w:r>
          </w:p>
        </w:tc>
        <w:tc>
          <w:tcPr>
            <w:tcW w:type="dxa" w:w="1392"/>
          </w:tcPr>
          <w:p>
            <w:r/>
            <w:r>
              <w:t>6 m × 5 m, H 2,50 m dont 0,50 m enfoui ; charpente encastrée tube carré lourd 50/1,25 ; 14 pieds dont 1 central de 2,50 m ; traverse faîtière 50/1,25 ; 6 rangées de 30/1,25 à ± 75 cm ; cadre d'entrée de 1 m ; antirouille + peinture à huile renforcée sur parties enfouies</w:t>
            </w:r>
          </w:p>
        </w:tc>
        <w:tc>
          <w:tcPr>
            <w:tcW w:type="dxa" w:w="1392"/>
          </w:tcPr>
          <w:p>
            <w:r/>
            <w:r>
              <w:t>U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20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</w:tr>
      <w:tr>
        <w:tc>
          <w:tcPr>
            <w:tcW w:type="dxa" w:w="1392"/>
          </w:tcPr>
          <w:p>
            <w:r/>
            <w:r>
              <w:t>7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Transport et livraison</w:t>
            </w:r>
          </w:p>
        </w:tc>
        <w:tc>
          <w:tcPr>
            <w:tcW w:type="dxa" w:w="1392"/>
          </w:tcPr>
          <w:p>
            <w:r/>
            <w:r>
              <w:t>Livraison dans les chefs-lieux des communes rurales de Koygolo et de Sokorbé, puis acheminement, déchargement et montage dans les 20 centres SSA/P</w:t>
            </w:r>
          </w:p>
        </w:tc>
        <w:tc>
          <w:tcPr>
            <w:tcW w:type="dxa" w:w="1392"/>
          </w:tcPr>
          <w:p>
            <w:r/>
            <w:r>
              <w:t>Forfait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Montant (FCFA)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TOTAL GÉNÉRAL HORS TAXES</w:t>
            </w:r>
          </w:p>
        </w:tc>
        <w:tc>
          <w:tcPr>
            <w:tcW w:type="dxa" w:w="4873"/>
          </w:tcPr>
          <w:p>
            <w:r/>
            <w:r>
              <w:t>………………………………</w:t>
            </w:r>
          </w:p>
        </w:tc>
      </w:tr>
      <w:tr>
        <w:tc>
          <w:tcPr>
            <w:tcW w:type="dxa" w:w="4873"/>
          </w:tcPr>
          <w:p>
            <w:r/>
            <w:r>
              <w:t>Prélèvement ISB 2 % (reversé au Trésor Public)</w:t>
            </w:r>
          </w:p>
        </w:tc>
        <w:tc>
          <w:tcPr>
            <w:tcW w:type="dxa" w:w="4873"/>
          </w:tcPr>
          <w:p>
            <w:r/>
            <w:r>
              <w:t>………………………………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NET À PERCEVOIR</w:t>
            </w:r>
          </w:p>
        </w:tc>
        <w:tc>
          <w:tcPr>
            <w:tcW w:type="dxa" w:w="4873"/>
          </w:tcPr>
          <w:p>
            <w:r/>
            <w:r>
              <w:t>………………………………</w:t>
            </w:r>
          </w:p>
        </w:tc>
      </w:tr>
    </w:tbl>
    <w:p/>
    <w:p>
      <w:r>
        <w:rPr>
          <w:b/>
        </w:rPr>
        <w:t>Arrêté le présent devis à la somme totale de :</w:t>
      </w:r>
      <w:r>
        <w:t xml:space="preserve"> ………………………………………………………………………………………………………… Francs CFA.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2"/>
      </w:pPr>
      <w:r/>
      <w:r>
        <w:t>RÉPARTITION PAR COMMUNE (pour information — livraison)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Désignation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Koygolo (10 centres)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Sokorbé (10 centres)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Total</w:t>
            </w:r>
          </w:p>
        </w:tc>
      </w:tr>
      <w:tr>
        <w:tc>
          <w:tcPr>
            <w:tcW w:type="dxa" w:w="2436"/>
          </w:tcPr>
          <w:p>
            <w:r/>
            <w:r>
              <w:t>Tables-bancs</w:t>
            </w:r>
          </w:p>
        </w:tc>
        <w:tc>
          <w:tcPr>
            <w:tcW w:type="dxa" w:w="2436"/>
          </w:tcPr>
          <w:p>
            <w:r/>
            <w:r>
              <w:t>100</w:t>
            </w:r>
          </w:p>
        </w:tc>
        <w:tc>
          <w:tcPr>
            <w:tcW w:type="dxa" w:w="2436"/>
          </w:tcPr>
          <w:p>
            <w:r/>
            <w:r>
              <w:t>100</w:t>
            </w:r>
          </w:p>
        </w:tc>
        <w:tc>
          <w:tcPr>
            <w:tcW w:type="dxa" w:w="2436"/>
          </w:tcPr>
          <w:p>
            <w:r/>
            <w:r>
              <w:t>200</w:t>
            </w:r>
          </w:p>
        </w:tc>
      </w:tr>
      <w:tr>
        <w:tc>
          <w:tcPr>
            <w:tcW w:type="dxa" w:w="2436"/>
          </w:tcPr>
          <w:p>
            <w:r/>
            <w:r>
              <w:t>Tableaux à chevalet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20</w:t>
            </w:r>
          </w:p>
        </w:tc>
      </w:tr>
      <w:tr>
        <w:tc>
          <w:tcPr>
            <w:tcW w:type="dxa" w:w="2436"/>
          </w:tcPr>
          <w:p>
            <w:r/>
            <w:r>
              <w:t>Règles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20</w:t>
            </w:r>
          </w:p>
        </w:tc>
      </w:tr>
      <w:tr>
        <w:tc>
          <w:tcPr>
            <w:tcW w:type="dxa" w:w="2436"/>
          </w:tcPr>
          <w:p>
            <w:r/>
            <w:r>
              <w:t>Tables (bureaux) enseignant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20</w:t>
            </w:r>
          </w:p>
        </w:tc>
      </w:tr>
      <w:tr>
        <w:tc>
          <w:tcPr>
            <w:tcW w:type="dxa" w:w="2436"/>
          </w:tcPr>
          <w:p>
            <w:r/>
            <w:r>
              <w:t>Chaises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20</w:t>
            </w:r>
          </w:p>
        </w:tc>
      </w:tr>
      <w:tr>
        <w:tc>
          <w:tcPr>
            <w:tcW w:type="dxa" w:w="2436"/>
          </w:tcPr>
          <w:p>
            <w:r/>
            <w:r>
              <w:t>Cadres de hangars métalliques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20</w:t>
            </w:r>
          </w:p>
        </w:tc>
      </w:tr>
    </w:tbl>
    <w:p/>
    <w:p>
      <w:pPr>
        <w:jc w:val="center"/>
      </w:pPr>
      <w:r>
        <w:rPr>
          <w:color w:val="999999"/>
        </w:rPr>
        <w:t>____________________________________________________________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