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t>MÉMOIRE TECHNIQUE ET MÉTHODOLOGIQUE</w:t>
      </w:r>
    </w:p>
    <w:p>
      <w:r>
        <w:rPr>
          <w:b/>
        </w:rPr>
        <w:t>MERCURE SARL — AO N° 007/2026/ONEN/FONDATION STROMME/DO</w:t>
      </w:r>
    </w:p>
    <w:p>
      <w:pPr>
        <w:jc w:val="center"/>
      </w:pPr>
      <w:r>
        <w:rPr>
          <w:color w:val="999999"/>
        </w:rPr>
        <w:t>____________________________________________________________</w:t>
      </w:r>
    </w:p>
    <w:p>
      <w:pPr>
        <w:pStyle w:val="Heading2"/>
      </w:pPr>
      <w:r/>
      <w:r>
        <w:t>1. COMPRÉHENSION DE LA MISSION</w:t>
      </w:r>
    </w:p>
    <w:p>
      <w:r>
        <w:t>La mission consiste à confectionner, livrer et installer les mobiliers scolaires de</w:t>
      </w:r>
    </w:p>
    <w:p>
      <w:r>
        <w:rPr>
          <w:b/>
        </w:rPr>
        <w:t>vingt (20) centres SSA/P</w:t>
      </w:r>
      <w:r>
        <w:t xml:space="preserve"> créés en octobre 2026 dans les communes rurales de </w:t>
      </w:r>
      <w:r>
        <w:rPr>
          <w:b/>
        </w:rPr>
        <w:t>Koygolo</w:t>
      </w:r>
      <w:r>
        <w:t xml:space="preserve"> (département de Boboye) et de </w:t>
      </w:r>
      <w:r>
        <w:rPr>
          <w:b/>
        </w:rPr>
        <w:t>Sokorbé</w:t>
      </w:r>
      <w:r>
        <w:t xml:space="preserve"> (département de Loga), région de Dosso, à raison de dix (10) centres par commune.</w:t>
      </w:r>
    </w:p>
    <w:p>
      <w:r>
        <w:t xml:space="preserve">La livraison s'effectue en deux temps : d'abord aux </w:t>
      </w:r>
      <w:r>
        <w:rPr>
          <w:b/>
        </w:rPr>
        <w:t>chefs-lieux des deux communes</w:t>
      </w:r>
      <w:r>
        <w:t xml:space="preserve">, en présence des agents de l'ONG ONEN Dosso et des points focaux communaux, répondants de la Fondation Stromme, pour vérification et réception provisoire ; puis </w:t>
      </w:r>
      <w:r>
        <w:rPr>
          <w:b/>
        </w:rPr>
        <w:t>acheminement dans les 20 centres</w:t>
      </w:r>
      <w:r>
        <w:t>, à notre charge, avec décharge des bordereaux de réception par les comités de gestion des centres.</w:t>
      </w:r>
    </w:p>
    <w:p>
      <w:pPr>
        <w:pStyle w:val="Heading2"/>
      </w:pPr>
      <w:r/>
      <w:r>
        <w:t>2. CONSISTANCE DES FOURNITURES</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r>
            <w:r>
              <w:rPr>
                <w:b/>
              </w:rPr>
              <w:t>Désignation</w:t>
            </w:r>
          </w:p>
        </w:tc>
        <w:tc>
          <w:tcPr>
            <w:tcW w:type="dxa" w:w="2436"/>
          </w:tcPr>
          <w:p>
            <w:r>
              <w:rPr>
                <w:b/>
              </w:rPr>
            </w:r>
            <w:r>
              <w:rPr>
                <w:b/>
              </w:rPr>
              <w:t>Quantité totale</w:t>
            </w:r>
          </w:p>
        </w:tc>
        <w:tc>
          <w:tcPr>
            <w:tcW w:type="dxa" w:w="2436"/>
          </w:tcPr>
          <w:p>
            <w:r>
              <w:rPr>
                <w:b/>
              </w:rPr>
            </w:r>
            <w:r>
              <w:rPr>
                <w:b/>
              </w:rPr>
              <w:t>Koygolo</w:t>
            </w:r>
          </w:p>
        </w:tc>
        <w:tc>
          <w:tcPr>
            <w:tcW w:type="dxa" w:w="2436"/>
          </w:tcPr>
          <w:p>
            <w:r>
              <w:rPr>
                <w:b/>
              </w:rPr>
            </w:r>
            <w:r>
              <w:rPr>
                <w:b/>
              </w:rPr>
              <w:t>Sokorbé</w:t>
            </w:r>
          </w:p>
        </w:tc>
      </w:tr>
      <w:tr>
        <w:tc>
          <w:tcPr>
            <w:tcW w:type="dxa" w:w="2436"/>
          </w:tcPr>
          <w:p>
            <w:r/>
            <w:r>
              <w:t>Tables-bancs</w:t>
            </w:r>
          </w:p>
        </w:tc>
        <w:tc>
          <w:tcPr>
            <w:tcW w:type="dxa" w:w="2436"/>
          </w:tcPr>
          <w:p>
            <w:r/>
            <w:r>
              <w:t>200</w:t>
            </w:r>
          </w:p>
        </w:tc>
        <w:tc>
          <w:tcPr>
            <w:tcW w:type="dxa" w:w="2436"/>
          </w:tcPr>
          <w:p>
            <w:r/>
            <w:r>
              <w:t>100</w:t>
            </w:r>
          </w:p>
        </w:tc>
        <w:tc>
          <w:tcPr>
            <w:tcW w:type="dxa" w:w="2436"/>
          </w:tcPr>
          <w:p>
            <w:r/>
            <w:r>
              <w:t>100</w:t>
            </w:r>
          </w:p>
        </w:tc>
      </w:tr>
      <w:tr>
        <w:tc>
          <w:tcPr>
            <w:tcW w:type="dxa" w:w="2436"/>
          </w:tcPr>
          <w:p>
            <w:r/>
            <w:r>
              <w:t>Tableaux à chevalet</w:t>
            </w:r>
          </w:p>
        </w:tc>
        <w:tc>
          <w:tcPr>
            <w:tcW w:type="dxa" w:w="2436"/>
          </w:tcPr>
          <w:p>
            <w:r/>
            <w:r>
              <w:t>20</w:t>
            </w:r>
          </w:p>
        </w:tc>
        <w:tc>
          <w:tcPr>
            <w:tcW w:type="dxa" w:w="2436"/>
          </w:tcPr>
          <w:p>
            <w:r/>
            <w:r>
              <w:t>10</w:t>
            </w:r>
          </w:p>
        </w:tc>
        <w:tc>
          <w:tcPr>
            <w:tcW w:type="dxa" w:w="2436"/>
          </w:tcPr>
          <w:p>
            <w:r/>
            <w:r>
              <w:t>10</w:t>
            </w:r>
          </w:p>
        </w:tc>
      </w:tr>
      <w:tr>
        <w:tc>
          <w:tcPr>
            <w:tcW w:type="dxa" w:w="2436"/>
          </w:tcPr>
          <w:p>
            <w:r/>
            <w:r>
              <w:t>Règles plastiques graduées (1 m)</w:t>
            </w:r>
          </w:p>
        </w:tc>
        <w:tc>
          <w:tcPr>
            <w:tcW w:type="dxa" w:w="2436"/>
          </w:tcPr>
          <w:p>
            <w:r/>
            <w:r>
              <w:t>20</w:t>
            </w:r>
          </w:p>
        </w:tc>
        <w:tc>
          <w:tcPr>
            <w:tcW w:type="dxa" w:w="2436"/>
          </w:tcPr>
          <w:p>
            <w:r/>
            <w:r>
              <w:t>10</w:t>
            </w:r>
          </w:p>
        </w:tc>
        <w:tc>
          <w:tcPr>
            <w:tcW w:type="dxa" w:w="2436"/>
          </w:tcPr>
          <w:p>
            <w:r/>
            <w:r>
              <w:t>10</w:t>
            </w:r>
          </w:p>
        </w:tc>
      </w:tr>
      <w:tr>
        <w:tc>
          <w:tcPr>
            <w:tcW w:type="dxa" w:w="2436"/>
          </w:tcPr>
          <w:p>
            <w:r/>
            <w:r>
              <w:t>Tables (bureaux) enseignant</w:t>
            </w:r>
          </w:p>
        </w:tc>
        <w:tc>
          <w:tcPr>
            <w:tcW w:type="dxa" w:w="2436"/>
          </w:tcPr>
          <w:p>
            <w:r/>
            <w:r>
              <w:t>20</w:t>
            </w:r>
          </w:p>
        </w:tc>
        <w:tc>
          <w:tcPr>
            <w:tcW w:type="dxa" w:w="2436"/>
          </w:tcPr>
          <w:p>
            <w:r/>
            <w:r>
              <w:t>10</w:t>
            </w:r>
          </w:p>
        </w:tc>
        <w:tc>
          <w:tcPr>
            <w:tcW w:type="dxa" w:w="2436"/>
          </w:tcPr>
          <w:p>
            <w:r/>
            <w:r>
              <w:t>10</w:t>
            </w:r>
          </w:p>
        </w:tc>
      </w:tr>
      <w:tr>
        <w:tc>
          <w:tcPr>
            <w:tcW w:type="dxa" w:w="2436"/>
          </w:tcPr>
          <w:p>
            <w:r/>
            <w:r>
              <w:t>Chaises pour animateurs</w:t>
            </w:r>
          </w:p>
        </w:tc>
        <w:tc>
          <w:tcPr>
            <w:tcW w:type="dxa" w:w="2436"/>
          </w:tcPr>
          <w:p>
            <w:r/>
            <w:r>
              <w:t>20</w:t>
            </w:r>
          </w:p>
        </w:tc>
        <w:tc>
          <w:tcPr>
            <w:tcW w:type="dxa" w:w="2436"/>
          </w:tcPr>
          <w:p>
            <w:r/>
            <w:r>
              <w:t>10</w:t>
            </w:r>
          </w:p>
        </w:tc>
        <w:tc>
          <w:tcPr>
            <w:tcW w:type="dxa" w:w="2436"/>
          </w:tcPr>
          <w:p>
            <w:r/>
            <w:r>
              <w:t>10</w:t>
            </w:r>
          </w:p>
        </w:tc>
      </w:tr>
      <w:tr>
        <w:tc>
          <w:tcPr>
            <w:tcW w:type="dxa" w:w="2436"/>
          </w:tcPr>
          <w:p>
            <w:r/>
            <w:r>
              <w:t>Cadres de hangars métalliques</w:t>
            </w:r>
          </w:p>
        </w:tc>
        <w:tc>
          <w:tcPr>
            <w:tcW w:type="dxa" w:w="2436"/>
          </w:tcPr>
          <w:p>
            <w:r/>
            <w:r>
              <w:t>20</w:t>
            </w:r>
          </w:p>
        </w:tc>
        <w:tc>
          <w:tcPr>
            <w:tcW w:type="dxa" w:w="2436"/>
          </w:tcPr>
          <w:p>
            <w:r/>
            <w:r>
              <w:t>10</w:t>
            </w:r>
          </w:p>
        </w:tc>
        <w:tc>
          <w:tcPr>
            <w:tcW w:type="dxa" w:w="2436"/>
          </w:tcPr>
          <w:p>
            <w:r/>
            <w:r>
              <w:t>10</w:t>
            </w:r>
          </w:p>
        </w:tc>
      </w:tr>
      <w:tr>
        <w:tc>
          <w:tcPr>
            <w:tcW w:type="dxa" w:w="2436"/>
          </w:tcPr>
          <w:p>
            <w:r/>
            <w:r>
              <w:t>Transport et livraison</w:t>
            </w:r>
          </w:p>
        </w:tc>
        <w:tc>
          <w:tcPr>
            <w:tcW w:type="dxa" w:w="2436"/>
          </w:tcPr>
          <w:p>
            <w:r/>
            <w:r>
              <w:t>1 (forfait)</w:t>
            </w:r>
          </w:p>
        </w:tc>
        <w:tc>
          <w:tcPr>
            <w:tcW w:type="dxa" w:w="2436"/>
          </w:tcPr>
          <w:p>
            <w:r/>
            <w:r>
              <w:t>—</w:t>
            </w:r>
          </w:p>
        </w:tc>
        <w:tc>
          <w:tcPr>
            <w:tcW w:type="dxa" w:w="2436"/>
          </w:tcPr>
          <w:p>
            <w:r/>
            <w:r>
              <w:t>—</w:t>
            </w:r>
          </w:p>
        </w:tc>
      </w:tr>
    </w:tbl>
    <w:p/>
    <w:p>
      <w:pPr>
        <w:pStyle w:val="Heading2"/>
      </w:pPr>
      <w:r/>
      <w:r>
        <w:t>3. FICHES TECHNIQUES — CONFORMITÉ AUX SPÉCIFICATIONS DES TDR</w:t>
      </w:r>
    </w:p>
    <w:p>
      <w:pPr>
        <w:pStyle w:val="Heading3"/>
      </w:pPr>
      <w:r/>
      <w:r>
        <w:t>3.1. Tables-bancs — 200 unités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Élément</w:t>
            </w:r>
          </w:p>
        </w:tc>
        <w:tc>
          <w:tcPr>
            <w:tcW w:type="dxa" w:w="3249"/>
          </w:tcPr>
          <w:p>
            <w:r>
              <w:rPr>
                <w:b/>
              </w:rPr>
            </w:r>
            <w:r>
              <w:rPr>
                <w:b/>
              </w:rPr>
              <w:t>Spécification TDR</w:t>
            </w:r>
          </w:p>
        </w:tc>
        <w:tc>
          <w:tcPr>
            <w:tcW w:type="dxa" w:w="3249"/>
          </w:tcPr>
          <w:p>
            <w:r>
              <w:rPr>
                <w:b/>
              </w:rPr>
            </w:r>
            <w:r>
              <w:rPr>
                <w:b/>
              </w:rPr>
              <w:t>Engagement MERCURE SARL</w:t>
            </w:r>
          </w:p>
        </w:tc>
      </w:tr>
      <w:tr>
        <w:tc>
          <w:tcPr>
            <w:tcW w:type="dxa" w:w="3249"/>
          </w:tcPr>
          <w:p>
            <w:r/>
            <w:r>
              <w:t>Structure</w:t>
            </w:r>
          </w:p>
        </w:tc>
        <w:tc>
          <w:tcPr>
            <w:tcW w:type="dxa" w:w="3249"/>
          </w:tcPr>
          <w:p>
            <w:r/>
            <w:r>
              <w:t xml:space="preserve">Fer tube carré </w:t>
            </w:r>
            <w:r>
              <w:rPr>
                <w:b/>
              </w:rPr>
              <w:t>lourd de 2,50 mm</w:t>
            </w:r>
          </w:p>
        </w:tc>
        <w:tc>
          <w:tcPr>
            <w:tcW w:type="dxa" w:w="3249"/>
          </w:tcPr>
          <w:p>
            <w:r/>
            <w:r>
              <w:t xml:space="preserve">Tube carré lourd, épaisseur 2,50 mm — </w:t>
            </w:r>
            <w:r>
              <w:rPr>
                <w:b/>
              </w:rPr>
              <w:t>conforme</w:t>
            </w:r>
          </w:p>
        </w:tc>
      </w:tr>
      <w:tr>
        <w:tc>
          <w:tcPr>
            <w:tcW w:type="dxa" w:w="3249"/>
          </w:tcPr>
          <w:p>
            <w:r/>
            <w:r>
              <w:t>Plateau et banc</w:t>
            </w:r>
          </w:p>
        </w:tc>
        <w:tc>
          <w:tcPr>
            <w:tcW w:type="dxa" w:w="3249"/>
          </w:tcPr>
          <w:p>
            <w:r/>
            <w:r>
              <w:t xml:space="preserve">Planche en bois blanc </w:t>
            </w:r>
            <w:r>
              <w:rPr>
                <w:b/>
              </w:rPr>
              <w:t>ou</w:t>
            </w:r>
            <w:r>
              <w:t xml:space="preserve"> contreplaqué de </w:t>
            </w:r>
            <w:r>
              <w:rPr>
                <w:b/>
              </w:rPr>
              <w:t>15 mm doublé</w:t>
            </w:r>
          </w:p>
        </w:tc>
        <w:tc>
          <w:tcPr>
            <w:tcW w:type="dxa" w:w="3249"/>
          </w:tcPr>
          <w:p>
            <w:r/>
            <w:r>
              <w:t xml:space="preserve">Contreplaqué 15 mm doublé (ou bois blanc au choix de l'ONEN) — </w:t>
            </w:r>
            <w:r>
              <w:rPr>
                <w:b/>
              </w:rPr>
              <w:t>conforme</w:t>
            </w:r>
          </w:p>
        </w:tc>
      </w:tr>
      <w:tr>
        <w:tc>
          <w:tcPr>
            <w:tcW w:type="dxa" w:w="3249"/>
          </w:tcPr>
          <w:p>
            <w:r/>
            <w:r>
              <w:t>Hauteur</w:t>
            </w:r>
          </w:p>
        </w:tc>
        <w:tc>
          <w:tcPr>
            <w:tcW w:type="dxa" w:w="3249"/>
          </w:tcPr>
          <w:p>
            <w:r/>
            <w:r>
              <w:rPr>
                <w:b/>
              </w:rPr>
              <w:t>0,70 m</w:t>
            </w:r>
          </w:p>
        </w:tc>
        <w:tc>
          <w:tcPr>
            <w:tcW w:type="dxa" w:w="3249"/>
          </w:tcPr>
          <w:p>
            <w:r/>
            <w:r>
              <w:t xml:space="preserve">0,70 m — </w:t>
            </w:r>
            <w:r>
              <w:rPr>
                <w:b/>
              </w:rPr>
              <w:t>conforme</w:t>
            </w:r>
          </w:p>
        </w:tc>
      </w:tr>
      <w:tr>
        <w:tc>
          <w:tcPr>
            <w:tcW w:type="dxa" w:w="3249"/>
          </w:tcPr>
          <w:p>
            <w:r/>
            <w:r>
              <w:t>Longueur table et banc</w:t>
            </w:r>
          </w:p>
        </w:tc>
        <w:tc>
          <w:tcPr>
            <w:tcW w:type="dxa" w:w="3249"/>
          </w:tcPr>
          <w:p>
            <w:r/>
            <w:r>
              <w:rPr>
                <w:b/>
              </w:rPr>
              <w:t>1,20 m</w:t>
            </w:r>
          </w:p>
        </w:tc>
        <w:tc>
          <w:tcPr>
            <w:tcW w:type="dxa" w:w="3249"/>
          </w:tcPr>
          <w:p>
            <w:r/>
            <w:r>
              <w:t xml:space="preserve">1,20 m — </w:t>
            </w:r>
            <w:r>
              <w:rPr>
                <w:b/>
              </w:rPr>
              <w:t>conforme</w:t>
            </w:r>
          </w:p>
        </w:tc>
      </w:tr>
      <w:tr>
        <w:tc>
          <w:tcPr>
            <w:tcW w:type="dxa" w:w="3249"/>
          </w:tcPr>
          <w:p>
            <w:r/>
            <w:r>
              <w:t>Largeur de la table</w:t>
            </w:r>
          </w:p>
        </w:tc>
        <w:tc>
          <w:tcPr>
            <w:tcW w:type="dxa" w:w="3249"/>
          </w:tcPr>
          <w:p>
            <w:r/>
            <w:r>
              <w:rPr>
                <w:b/>
              </w:rPr>
              <w:t>37 cm</w:t>
            </w:r>
          </w:p>
        </w:tc>
        <w:tc>
          <w:tcPr>
            <w:tcW w:type="dxa" w:w="3249"/>
          </w:tcPr>
          <w:p>
            <w:r/>
            <w:r>
              <w:t xml:space="preserve">37 cm — </w:t>
            </w:r>
            <w:r>
              <w:rPr>
                <w:b/>
              </w:rPr>
              <w:t>conforme</w:t>
            </w:r>
          </w:p>
        </w:tc>
      </w:tr>
      <w:tr>
        <w:tc>
          <w:tcPr>
            <w:tcW w:type="dxa" w:w="3249"/>
          </w:tcPr>
          <w:p>
            <w:r/>
            <w:r>
              <w:t>Casier</w:t>
            </w:r>
          </w:p>
        </w:tc>
        <w:tc>
          <w:tcPr>
            <w:tcW w:type="dxa" w:w="3249"/>
          </w:tcPr>
          <w:p>
            <w:r/>
            <w:r>
              <w:t xml:space="preserve">Contreplaqué de </w:t>
            </w:r>
            <w:r>
              <w:rPr>
                <w:b/>
              </w:rPr>
              <w:t>10 mm</w:t>
            </w:r>
          </w:p>
        </w:tc>
        <w:tc>
          <w:tcPr>
            <w:tcW w:type="dxa" w:w="3249"/>
          </w:tcPr>
          <w:p>
            <w:r/>
            <w:r>
              <w:t xml:space="preserve">Casier sous plateau en contreplaqué 10 mm — </w:t>
            </w:r>
            <w:r>
              <w:rPr>
                <w:b/>
              </w:rPr>
              <w:t>conforme</w:t>
            </w:r>
          </w:p>
        </w:tc>
      </w:tr>
      <w:tr>
        <w:tc>
          <w:tcPr>
            <w:tcW w:type="dxa" w:w="3249"/>
          </w:tcPr>
          <w:p>
            <w:r/>
            <w:r>
              <w:t>Finition</w:t>
            </w:r>
          </w:p>
        </w:tc>
        <w:tc>
          <w:tcPr>
            <w:tcW w:type="dxa" w:w="3249"/>
          </w:tcPr>
          <w:p>
            <w:r/>
            <w:r>
              <w:t>—</w:t>
            </w:r>
          </w:p>
        </w:tc>
        <w:tc>
          <w:tcPr>
            <w:tcW w:type="dxa" w:w="3249"/>
          </w:tcPr>
          <w:p>
            <w:r/>
            <w:r>
              <w:t>Ponçage, dérouillage, couche d'antirouille puis peinture à huile ; arêtes protégées, embouts plastiques aux pieds</w:t>
            </w:r>
          </w:p>
        </w:tc>
      </w:tr>
    </w:tbl>
    <w:p/>
    <w:p>
      <w:pPr>
        <w:pStyle w:val="Heading3"/>
      </w:pPr>
      <w:r/>
      <w:r>
        <w:t>3.2. Tableaux à chevalet — 20 unités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Élément</w:t>
            </w:r>
          </w:p>
        </w:tc>
        <w:tc>
          <w:tcPr>
            <w:tcW w:type="dxa" w:w="3249"/>
          </w:tcPr>
          <w:p>
            <w:r>
              <w:rPr>
                <w:b/>
              </w:rPr>
            </w:r>
            <w:r>
              <w:rPr>
                <w:b/>
              </w:rPr>
              <w:t>Spécification TDR</w:t>
            </w:r>
          </w:p>
        </w:tc>
        <w:tc>
          <w:tcPr>
            <w:tcW w:type="dxa" w:w="3249"/>
          </w:tcPr>
          <w:p>
            <w:r>
              <w:rPr>
                <w:b/>
              </w:rPr>
            </w:r>
            <w:r>
              <w:rPr>
                <w:b/>
              </w:rPr>
              <w:t>Engagement MERCURE SARL</w:t>
            </w:r>
          </w:p>
        </w:tc>
      </w:tr>
      <w:tr>
        <w:tc>
          <w:tcPr>
            <w:tcW w:type="dxa" w:w="3249"/>
          </w:tcPr>
          <w:p>
            <w:r/>
            <w:r>
              <w:t>Panneau</w:t>
            </w:r>
          </w:p>
        </w:tc>
        <w:tc>
          <w:tcPr>
            <w:tcW w:type="dxa" w:w="3249"/>
          </w:tcPr>
          <w:p>
            <w:r/>
            <w:r>
              <w:t xml:space="preserve">Contreplaqué de </w:t>
            </w:r>
            <w:r>
              <w:rPr>
                <w:b/>
              </w:rPr>
              <w:t>18 mm</w:t>
            </w:r>
          </w:p>
        </w:tc>
        <w:tc>
          <w:tcPr>
            <w:tcW w:type="dxa" w:w="3249"/>
          </w:tcPr>
          <w:p>
            <w:r/>
            <w:r>
              <w:t xml:space="preserve">Contreplaqué 18 mm — </w:t>
            </w:r>
            <w:r>
              <w:rPr>
                <w:b/>
              </w:rPr>
              <w:t>conforme</w:t>
            </w:r>
          </w:p>
        </w:tc>
      </w:tr>
      <w:tr>
        <w:tc>
          <w:tcPr>
            <w:tcW w:type="dxa" w:w="3249"/>
          </w:tcPr>
          <w:p>
            <w:r/>
            <w:r>
              <w:t>Dimensions du panneau</w:t>
            </w:r>
          </w:p>
        </w:tc>
        <w:tc>
          <w:tcPr>
            <w:tcW w:type="dxa" w:w="3249"/>
          </w:tcPr>
          <w:p>
            <w:r/>
            <w:r>
              <w:rPr>
                <w:b/>
              </w:rPr>
              <w:t>224 cm × 122 cm</w:t>
            </w:r>
          </w:p>
        </w:tc>
        <w:tc>
          <w:tcPr>
            <w:tcW w:type="dxa" w:w="3249"/>
          </w:tcPr>
          <w:p>
            <w:r/>
            <w:r>
              <w:t xml:space="preserve">224 cm de longueur × 122 cm de largeur — </w:t>
            </w:r>
            <w:r>
              <w:rPr>
                <w:b/>
              </w:rPr>
              <w:t>conforme</w:t>
            </w:r>
          </w:p>
        </w:tc>
      </w:tr>
      <w:tr>
        <w:tc>
          <w:tcPr>
            <w:tcW w:type="dxa" w:w="3249"/>
          </w:tcPr>
          <w:p>
            <w:r/>
            <w:r>
              <w:t>Encadrement</w:t>
            </w:r>
          </w:p>
        </w:tc>
        <w:tc>
          <w:tcPr>
            <w:tcW w:type="dxa" w:w="3249"/>
          </w:tcPr>
          <w:p>
            <w:r/>
            <w:r>
              <w:t xml:space="preserve">Baguette de </w:t>
            </w:r>
            <w:r>
              <w:rPr>
                <w:b/>
              </w:rPr>
              <w:t>5 cm de largeur tout autour, sur les deux faces</w:t>
            </w:r>
          </w:p>
        </w:tc>
        <w:tc>
          <w:tcPr>
            <w:tcW w:type="dxa" w:w="3249"/>
          </w:tcPr>
          <w:p>
            <w:r/>
            <w:r>
              <w:t xml:space="preserve">Baguette bois de 5 cm sur le pourtour des deux faces — </w:t>
            </w:r>
            <w:r>
              <w:rPr>
                <w:b/>
              </w:rPr>
              <w:t>conforme</w:t>
            </w:r>
          </w:p>
        </w:tc>
      </w:tr>
      <w:tr>
        <w:tc>
          <w:tcPr>
            <w:tcW w:type="dxa" w:w="3249"/>
          </w:tcPr>
          <w:p>
            <w:r/>
            <w:r>
              <w:t>Support</w:t>
            </w:r>
          </w:p>
        </w:tc>
        <w:tc>
          <w:tcPr>
            <w:tcW w:type="dxa" w:w="3249"/>
          </w:tcPr>
          <w:p>
            <w:r/>
            <w:r>
              <w:t xml:space="preserve">Chevalet à </w:t>
            </w:r>
            <w:r>
              <w:rPr>
                <w:b/>
              </w:rPr>
              <w:t>2 pieds</w:t>
            </w:r>
            <w:r>
              <w:t xml:space="preserve">, tube carré de </w:t>
            </w:r>
            <w:r>
              <w:rPr>
                <w:b/>
              </w:rPr>
              <w:t>30 mm</w:t>
            </w:r>
            <w:r>
              <w:t xml:space="preserve">, épaisseur </w:t>
            </w:r>
            <w:r>
              <w:rPr>
                <w:b/>
              </w:rPr>
              <w:t>1,25 mm</w:t>
            </w:r>
          </w:p>
        </w:tc>
        <w:tc>
          <w:tcPr>
            <w:tcW w:type="dxa" w:w="3249"/>
          </w:tcPr>
          <w:p>
            <w:r/>
            <w:r>
              <w:t xml:space="preserve">Chevalet 2 pieds, tube carré 30 mm / 1,25 mm, articulation renforcée — </w:t>
            </w:r>
            <w:r>
              <w:rPr>
                <w:b/>
              </w:rPr>
              <w:t>conforme</w:t>
            </w:r>
          </w:p>
        </w:tc>
      </w:tr>
      <w:tr>
        <w:tc>
          <w:tcPr>
            <w:tcW w:type="dxa" w:w="3249"/>
          </w:tcPr>
          <w:p>
            <w:r/>
            <w:r>
              <w:t>Finition</w:t>
            </w:r>
          </w:p>
        </w:tc>
        <w:tc>
          <w:tcPr>
            <w:tcW w:type="dxa" w:w="3249"/>
          </w:tcPr>
          <w:p>
            <w:r/>
            <w:r>
              <w:t>—</w:t>
            </w:r>
          </w:p>
        </w:tc>
        <w:tc>
          <w:tcPr>
            <w:tcW w:type="dxa" w:w="3249"/>
          </w:tcPr>
          <w:p>
            <w:r/>
            <w:r>
              <w:t>Deux faces peintes en peinture tableau (noire ou verte, au choix de l'ONEN), support antirouille + peinture à huile</w:t>
            </w:r>
          </w:p>
        </w:tc>
      </w:tr>
      <w:tr>
        <w:tc>
          <w:tcPr>
            <w:tcW w:type="dxa" w:w="3249"/>
          </w:tcPr>
          <w:p>
            <w:r/>
            <w:r>
              <w:t>Échantillon</w:t>
            </w:r>
          </w:p>
        </w:tc>
        <w:tc>
          <w:tcPr>
            <w:tcW w:type="dxa" w:w="3249"/>
          </w:tcPr>
          <w:p>
            <w:r/>
            <w:r>
              <w:t>Échantillon consultable au bureau ONEN</w:t>
            </w:r>
          </w:p>
        </w:tc>
        <w:tc>
          <w:tcPr>
            <w:tcW w:type="dxa" w:w="3249"/>
          </w:tcPr>
          <w:p>
            <w:r/>
            <w:r>
              <w:rPr>
                <w:b/>
              </w:rPr>
              <w:t>Échantillon vu et pris en compte</w:t>
            </w:r>
            <w:r>
              <w:t xml:space="preserve"> avant chiffrage</w:t>
            </w:r>
          </w:p>
        </w:tc>
      </w:tr>
    </w:tbl>
    <w:p/>
    <w:p>
      <w:pPr>
        <w:pStyle w:val="Heading3"/>
      </w:pPr>
      <w:r/>
      <w:r>
        <w:t>3.3. Règles plastiques graduées — 20 unités</w:t>
      </w:r>
    </w:p>
    <w:p>
      <w:r>
        <w:t xml:space="preserve">Règle plastique graduée de </w:t>
      </w:r>
      <w:r>
        <w:rPr>
          <w:b/>
        </w:rPr>
        <w:t>1 mètre</w:t>
      </w:r>
      <w:r>
        <w:t>, conforme aux TDR, à raison d'une règle par centre.</w:t>
      </w:r>
    </w:p>
    <w:p>
      <w:pPr>
        <w:pStyle w:val="Heading3"/>
      </w:pPr>
      <w:r/>
      <w:r>
        <w:t>3.4. Tables (bureaux) enseignant — 20 unités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Élément</w:t>
            </w:r>
          </w:p>
        </w:tc>
        <w:tc>
          <w:tcPr>
            <w:tcW w:type="dxa" w:w="3249"/>
          </w:tcPr>
          <w:p>
            <w:r>
              <w:rPr>
                <w:b/>
              </w:rPr>
            </w:r>
            <w:r>
              <w:rPr>
                <w:b/>
              </w:rPr>
              <w:t>Spécification TDR</w:t>
            </w:r>
          </w:p>
        </w:tc>
        <w:tc>
          <w:tcPr>
            <w:tcW w:type="dxa" w:w="3249"/>
          </w:tcPr>
          <w:p>
            <w:r>
              <w:rPr>
                <w:b/>
              </w:rPr>
            </w:r>
            <w:r>
              <w:rPr>
                <w:b/>
              </w:rPr>
              <w:t>Engagement MERCURE SARL</w:t>
            </w:r>
          </w:p>
        </w:tc>
      </w:tr>
      <w:tr>
        <w:tc>
          <w:tcPr>
            <w:tcW w:type="dxa" w:w="3249"/>
          </w:tcPr>
          <w:p>
            <w:r/>
            <w:r>
              <w:t>Cadre</w:t>
            </w:r>
          </w:p>
        </w:tc>
        <w:tc>
          <w:tcPr>
            <w:tcW w:type="dxa" w:w="3249"/>
          </w:tcPr>
          <w:p>
            <w:r/>
            <w:r>
              <w:t xml:space="preserve">Fer tube carré </w:t>
            </w:r>
            <w:r>
              <w:rPr>
                <w:b/>
              </w:rPr>
              <w:t>lourd de 30 mm</w:t>
            </w:r>
          </w:p>
        </w:tc>
        <w:tc>
          <w:tcPr>
            <w:tcW w:type="dxa" w:w="3249"/>
          </w:tcPr>
          <w:p>
            <w:r/>
            <w:r>
              <w:t xml:space="preserve">Tube carré lourd 30 mm — </w:t>
            </w:r>
            <w:r>
              <w:rPr>
                <w:b/>
              </w:rPr>
              <w:t>conforme</w:t>
            </w:r>
          </w:p>
        </w:tc>
      </w:tr>
      <w:tr>
        <w:tc>
          <w:tcPr>
            <w:tcW w:type="dxa" w:w="3249"/>
          </w:tcPr>
          <w:p>
            <w:r/>
            <w:r>
              <w:t>Dessus</w:t>
            </w:r>
          </w:p>
        </w:tc>
        <w:tc>
          <w:tcPr>
            <w:tcW w:type="dxa" w:w="3249"/>
          </w:tcPr>
          <w:p>
            <w:r/>
            <w:r>
              <w:t xml:space="preserve">Contreplaqué de </w:t>
            </w:r>
            <w:r>
              <w:rPr>
                <w:b/>
              </w:rPr>
              <w:t>20 mm</w:t>
            </w:r>
            <w:r>
              <w:t xml:space="preserve"> d'épaisseur</w:t>
            </w:r>
          </w:p>
        </w:tc>
        <w:tc>
          <w:tcPr>
            <w:tcW w:type="dxa" w:w="3249"/>
          </w:tcPr>
          <w:p>
            <w:r/>
            <w:r>
              <w:t xml:space="preserve">Contreplaqué 20 mm — </w:t>
            </w:r>
            <w:r>
              <w:rPr>
                <w:b/>
              </w:rPr>
              <w:t>conforme</w:t>
            </w:r>
          </w:p>
        </w:tc>
      </w:tr>
      <w:tr>
        <w:tc>
          <w:tcPr>
            <w:tcW w:type="dxa" w:w="3249"/>
          </w:tcPr>
          <w:p>
            <w:r/>
            <w:r>
              <w:t>Dimensions</w:t>
            </w:r>
          </w:p>
        </w:tc>
        <w:tc>
          <w:tcPr>
            <w:tcW w:type="dxa" w:w="3249"/>
          </w:tcPr>
          <w:p>
            <w:r/>
            <w:r>
              <w:t xml:space="preserve">Longueur </w:t>
            </w:r>
            <w:r>
              <w:rPr>
                <w:b/>
              </w:rPr>
              <w:t>1,20 m</w:t>
            </w:r>
            <w:r>
              <w:t xml:space="preserve"> × largeur </w:t>
            </w:r>
            <w:r>
              <w:rPr>
                <w:b/>
              </w:rPr>
              <w:t>0,60 m</w:t>
            </w:r>
          </w:p>
        </w:tc>
        <w:tc>
          <w:tcPr>
            <w:tcW w:type="dxa" w:w="3249"/>
          </w:tcPr>
          <w:p>
            <w:r/>
            <w:r>
              <w:t xml:space="preserve">1,20 m × 0,60 m — </w:t>
            </w:r>
            <w:r>
              <w:rPr>
                <w:b/>
              </w:rPr>
              <w:t>conforme</w:t>
            </w:r>
          </w:p>
        </w:tc>
      </w:tr>
      <w:tr>
        <w:tc>
          <w:tcPr>
            <w:tcW w:type="dxa" w:w="3249"/>
          </w:tcPr>
          <w:p>
            <w:r/>
            <w:r>
              <w:t>Finition</w:t>
            </w:r>
          </w:p>
        </w:tc>
        <w:tc>
          <w:tcPr>
            <w:tcW w:type="dxa" w:w="3249"/>
          </w:tcPr>
          <w:p>
            <w:r/>
            <w:r>
              <w:rPr>
                <w:b/>
              </w:rPr>
              <w:t>Peinture à huile grise</w:t>
            </w:r>
          </w:p>
        </w:tc>
        <w:tc>
          <w:tcPr>
            <w:tcW w:type="dxa" w:w="3249"/>
          </w:tcPr>
          <w:p>
            <w:r/>
            <w:r>
              <w:t xml:space="preserve">Antirouille puis peinture à huile grise — </w:t>
            </w:r>
            <w:r>
              <w:rPr>
                <w:b/>
              </w:rPr>
              <w:t>conforme</w:t>
            </w:r>
          </w:p>
        </w:tc>
      </w:tr>
    </w:tbl>
    <w:p/>
    <w:p>
      <w:pPr>
        <w:pStyle w:val="Heading3"/>
      </w:pPr>
      <w:r/>
      <w:r>
        <w:t>3.5. Chaises pour animateurs — 20 unités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Élément</w:t>
            </w:r>
          </w:p>
        </w:tc>
        <w:tc>
          <w:tcPr>
            <w:tcW w:type="dxa" w:w="3249"/>
          </w:tcPr>
          <w:p>
            <w:r>
              <w:rPr>
                <w:b/>
              </w:rPr>
            </w:r>
            <w:r>
              <w:rPr>
                <w:b/>
              </w:rPr>
              <w:t>Spécification TDR</w:t>
            </w:r>
          </w:p>
        </w:tc>
        <w:tc>
          <w:tcPr>
            <w:tcW w:type="dxa" w:w="3249"/>
          </w:tcPr>
          <w:p>
            <w:r>
              <w:rPr>
                <w:b/>
              </w:rPr>
            </w:r>
            <w:r>
              <w:rPr>
                <w:b/>
              </w:rPr>
              <w:t>Engagement MERCURE SARL</w:t>
            </w:r>
          </w:p>
        </w:tc>
      </w:tr>
      <w:tr>
        <w:tc>
          <w:tcPr>
            <w:tcW w:type="dxa" w:w="3249"/>
          </w:tcPr>
          <w:p>
            <w:r/>
            <w:r>
              <w:t>Structure</w:t>
            </w:r>
          </w:p>
        </w:tc>
        <w:tc>
          <w:tcPr>
            <w:tcW w:type="dxa" w:w="3249"/>
          </w:tcPr>
          <w:p>
            <w:r/>
            <w:r>
              <w:t xml:space="preserve">Tube carré </w:t>
            </w:r>
            <w:r>
              <w:rPr>
                <w:b/>
              </w:rPr>
              <w:t>lourd de 25 / 1,25</w:t>
            </w:r>
          </w:p>
        </w:tc>
        <w:tc>
          <w:tcPr>
            <w:tcW w:type="dxa" w:w="3249"/>
          </w:tcPr>
          <w:p>
            <w:r/>
            <w:r>
              <w:t xml:space="preserve">Tube carré lourd 25 mm, épaisseur 1,25 mm — </w:t>
            </w:r>
            <w:r>
              <w:rPr>
                <w:b/>
              </w:rPr>
              <w:t>conforme</w:t>
            </w:r>
          </w:p>
        </w:tc>
      </w:tr>
      <w:tr>
        <w:tc>
          <w:tcPr>
            <w:tcW w:type="dxa" w:w="3249"/>
          </w:tcPr>
          <w:p>
            <w:r/>
            <w:r>
              <w:t>Assise et dossier</w:t>
            </w:r>
          </w:p>
        </w:tc>
        <w:tc>
          <w:tcPr>
            <w:tcW w:type="dxa" w:w="3249"/>
          </w:tcPr>
          <w:p>
            <w:r/>
            <w:r>
              <w:rPr>
                <w:b/>
              </w:rPr>
              <w:t>Tôle de 8/10</w:t>
            </w:r>
          </w:p>
        </w:tc>
        <w:tc>
          <w:tcPr>
            <w:tcW w:type="dxa" w:w="3249"/>
          </w:tcPr>
          <w:p>
            <w:r/>
            <w:r>
              <w:t xml:space="preserve">Tôle 8/10 emboutie, bords rabattus — </w:t>
            </w:r>
            <w:r>
              <w:rPr>
                <w:b/>
              </w:rPr>
              <w:t>conforme</w:t>
            </w:r>
          </w:p>
        </w:tc>
      </w:tr>
      <w:tr>
        <w:tc>
          <w:tcPr>
            <w:tcW w:type="dxa" w:w="3249"/>
          </w:tcPr>
          <w:p>
            <w:r/>
            <w:r>
              <w:t>Finition</w:t>
            </w:r>
          </w:p>
        </w:tc>
        <w:tc>
          <w:tcPr>
            <w:tcW w:type="dxa" w:w="3249"/>
          </w:tcPr>
          <w:p>
            <w:r/>
            <w:r>
              <w:rPr>
                <w:b/>
              </w:rPr>
              <w:t>Peinture à huile grise</w:t>
            </w:r>
          </w:p>
        </w:tc>
        <w:tc>
          <w:tcPr>
            <w:tcW w:type="dxa" w:w="3249"/>
          </w:tcPr>
          <w:p>
            <w:r/>
            <w:r>
              <w:t xml:space="preserve">Antirouille puis peinture à huile grise — </w:t>
            </w:r>
            <w:r>
              <w:rPr>
                <w:b/>
              </w:rPr>
              <w:t>conforme</w:t>
            </w:r>
          </w:p>
        </w:tc>
      </w:tr>
    </w:tbl>
    <w:p/>
    <w:p>
      <w:pPr>
        <w:pStyle w:val="Heading3"/>
      </w:pPr>
      <w:r/>
      <w:r>
        <w:t>3.6. Cadres de hangars métalliques — 20 unités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r>
            <w:r>
              <w:rPr>
                <w:b/>
              </w:rPr>
              <w:t>Élément</w:t>
            </w:r>
          </w:p>
        </w:tc>
        <w:tc>
          <w:tcPr>
            <w:tcW w:type="dxa" w:w="3249"/>
          </w:tcPr>
          <w:p>
            <w:r>
              <w:rPr>
                <w:b/>
              </w:rPr>
            </w:r>
            <w:r>
              <w:rPr>
                <w:b/>
              </w:rPr>
              <w:t>Spécification TDR</w:t>
            </w:r>
          </w:p>
        </w:tc>
        <w:tc>
          <w:tcPr>
            <w:tcW w:type="dxa" w:w="3249"/>
          </w:tcPr>
          <w:p>
            <w:r>
              <w:rPr>
                <w:b/>
              </w:rPr>
            </w:r>
            <w:r>
              <w:rPr>
                <w:b/>
              </w:rPr>
              <w:t>Engagement MERCURE SARL</w:t>
            </w:r>
          </w:p>
        </w:tc>
      </w:tr>
      <w:tr>
        <w:tc>
          <w:tcPr>
            <w:tcW w:type="dxa" w:w="3249"/>
          </w:tcPr>
          <w:p>
            <w:r/>
            <w:r>
              <w:t>Dimensions</w:t>
            </w:r>
          </w:p>
        </w:tc>
        <w:tc>
          <w:tcPr>
            <w:tcW w:type="dxa" w:w="3249"/>
          </w:tcPr>
          <w:p>
            <w:r/>
            <w:r>
              <w:t xml:space="preserve">Longueur </w:t>
            </w:r>
            <w:r>
              <w:rPr>
                <w:b/>
              </w:rPr>
              <w:t>6 m</w:t>
            </w:r>
            <w:r>
              <w:t xml:space="preserve">, largeur </w:t>
            </w:r>
            <w:r>
              <w:rPr>
                <w:b/>
              </w:rPr>
              <w:t>5 m</w:t>
            </w:r>
            <w:r>
              <w:t xml:space="preserve">, hauteur </w:t>
            </w:r>
            <w:r>
              <w:rPr>
                <w:b/>
              </w:rPr>
              <w:t>2,50 m dont 0,50 m dans le sol</w:t>
            </w:r>
          </w:p>
        </w:tc>
        <w:tc>
          <w:tcPr>
            <w:tcW w:type="dxa" w:w="3249"/>
          </w:tcPr>
          <w:p>
            <w:r/>
            <w:r>
              <w:t xml:space="preserve">6 m × 5 m, hauteur 2,50 m dont 0,50 m enfoui — </w:t>
            </w:r>
            <w:r>
              <w:rPr>
                <w:b/>
              </w:rPr>
              <w:t>conforme</w:t>
            </w:r>
          </w:p>
        </w:tc>
      </w:tr>
      <w:tr>
        <w:tc>
          <w:tcPr>
            <w:tcW w:type="dxa" w:w="3249"/>
          </w:tcPr>
          <w:p>
            <w:r/>
            <w:r>
              <w:t>Charpente</w:t>
            </w:r>
          </w:p>
        </w:tc>
        <w:tc>
          <w:tcPr>
            <w:tcW w:type="dxa" w:w="3249"/>
          </w:tcPr>
          <w:p>
            <w:r/>
            <w:r>
              <w:t xml:space="preserve">Encastrée, tube carré </w:t>
            </w:r>
            <w:r>
              <w:rPr>
                <w:b/>
              </w:rPr>
              <w:t>lourd 50 / 1,25</w:t>
            </w:r>
          </w:p>
        </w:tc>
        <w:tc>
          <w:tcPr>
            <w:tcW w:type="dxa" w:w="3249"/>
          </w:tcPr>
          <w:p>
            <w:r/>
            <w:r>
              <w:t xml:space="preserve">Tube carré lourd 50 mm / 1,25 mm, assemblage encastré et soudé — </w:t>
            </w:r>
            <w:r>
              <w:rPr>
                <w:b/>
              </w:rPr>
              <w:t>conforme</w:t>
            </w:r>
          </w:p>
        </w:tc>
      </w:tr>
      <w:tr>
        <w:tc>
          <w:tcPr>
            <w:tcW w:type="dxa" w:w="3249"/>
          </w:tcPr>
          <w:p>
            <w:r/>
            <w:r>
              <w:t>Protection</w:t>
            </w:r>
          </w:p>
        </w:tc>
        <w:tc>
          <w:tcPr>
            <w:tcW w:type="dxa" w:w="3249"/>
          </w:tcPr>
          <w:p>
            <w:r/>
            <w:r>
              <w:rPr>
                <w:b/>
              </w:rPr>
              <w:t>Antirouille puis peinture à huile renforcée sur les parties enfouies</w:t>
            </w:r>
          </w:p>
        </w:tc>
        <w:tc>
          <w:tcPr>
            <w:tcW w:type="dxa" w:w="3249"/>
          </w:tcPr>
          <w:p>
            <w:r/>
            <w:r>
              <w:t xml:space="preserve">Double couche d'antirouille sur l'ensemble ; parties enfouies traitées en peinture à huile renforcée — </w:t>
            </w:r>
            <w:r>
              <w:rPr>
                <w:b/>
              </w:rPr>
              <w:t>conforme</w:t>
            </w:r>
          </w:p>
        </w:tc>
      </w:tr>
      <w:tr>
        <w:tc>
          <w:tcPr>
            <w:tcW w:type="dxa" w:w="3249"/>
          </w:tcPr>
          <w:p>
            <w:r/>
            <w:r>
              <w:t>Pieds</w:t>
            </w:r>
          </w:p>
        </w:tc>
        <w:tc>
          <w:tcPr>
            <w:tcW w:type="dxa" w:w="3249"/>
          </w:tcPr>
          <w:p>
            <w:r/>
            <w:r>
              <w:rPr>
                <w:b/>
              </w:rPr>
              <w:t>14 pieds dont un central de 2,50 m de long</w:t>
            </w:r>
          </w:p>
        </w:tc>
        <w:tc>
          <w:tcPr>
            <w:tcW w:type="dxa" w:w="3249"/>
          </w:tcPr>
          <w:p>
            <w:r/>
            <w:r>
              <w:t xml:space="preserve">14 pieds, dont un pied central de 2,50 m — </w:t>
            </w:r>
            <w:r>
              <w:rPr>
                <w:b/>
              </w:rPr>
              <w:t>conforme</w:t>
            </w:r>
          </w:p>
        </w:tc>
      </w:tr>
      <w:tr>
        <w:tc>
          <w:tcPr>
            <w:tcW w:type="dxa" w:w="3249"/>
          </w:tcPr>
          <w:p>
            <w:r/>
            <w:r>
              <w:t>Traverse</w:t>
            </w:r>
          </w:p>
        </w:tc>
        <w:tc>
          <w:tcPr>
            <w:tcW w:type="dxa" w:w="3249"/>
          </w:tcPr>
          <w:p>
            <w:r/>
            <w:r>
              <w:t xml:space="preserve">Une traverse tube carré </w:t>
            </w:r>
            <w:r>
              <w:rPr>
                <w:b/>
              </w:rPr>
              <w:t>50 / 1,25</w:t>
            </w:r>
            <w:r>
              <w:t xml:space="preserve"> sur le toit, dans le sens de la longueur, soutenue par le pied central</w:t>
            </w:r>
          </w:p>
        </w:tc>
        <w:tc>
          <w:tcPr>
            <w:tcW w:type="dxa" w:w="3249"/>
          </w:tcPr>
          <w:p>
            <w:r/>
            <w:r>
              <w:t xml:space="preserve">Traverse faîtière 50/1,25 appuyée sur le pied central — </w:t>
            </w:r>
            <w:r>
              <w:rPr>
                <w:b/>
              </w:rPr>
              <w:t>conforme</w:t>
            </w:r>
          </w:p>
        </w:tc>
      </w:tr>
      <w:tr>
        <w:tc>
          <w:tcPr>
            <w:tcW w:type="dxa" w:w="3249"/>
          </w:tcPr>
          <w:p>
            <w:r/>
            <w:r>
              <w:t>Pannes</w:t>
            </w:r>
          </w:p>
        </w:tc>
        <w:tc>
          <w:tcPr>
            <w:tcW w:type="dxa" w:w="3249"/>
          </w:tcPr>
          <w:p>
            <w:r/>
            <w:r>
              <w:rPr>
                <w:b/>
              </w:rPr>
              <w:t>Six (06) rangées</w:t>
            </w:r>
            <w:r>
              <w:t xml:space="preserve"> de tube carré </w:t>
            </w:r>
            <w:r>
              <w:rPr>
                <w:b/>
              </w:rPr>
              <w:t>30 / 1,25</w:t>
            </w:r>
            <w:r>
              <w:t xml:space="preserve"> sur le toit, à ± </w:t>
            </w:r>
            <w:r>
              <w:rPr>
                <w:b/>
              </w:rPr>
              <w:t>75 cm</w:t>
            </w:r>
            <w:r>
              <w:t xml:space="preserve"> d'intervalle, dans le sens de la largeur</w:t>
            </w:r>
          </w:p>
        </w:tc>
        <w:tc>
          <w:tcPr>
            <w:tcW w:type="dxa" w:w="3249"/>
          </w:tcPr>
          <w:p>
            <w:r/>
            <w:r>
              <w:t xml:space="preserve">6 rangées de 30/1,25 espacées d'environ 75 cm — </w:t>
            </w:r>
            <w:r>
              <w:rPr>
                <w:b/>
              </w:rPr>
              <w:t>conforme</w:t>
            </w:r>
          </w:p>
        </w:tc>
      </w:tr>
      <w:tr>
        <w:tc>
          <w:tcPr>
            <w:tcW w:type="dxa" w:w="3249"/>
          </w:tcPr>
          <w:p>
            <w:r/>
            <w:r>
              <w:t>Entrée</w:t>
            </w:r>
          </w:p>
        </w:tc>
        <w:tc>
          <w:tcPr>
            <w:tcW w:type="dxa" w:w="3249"/>
          </w:tcPr>
          <w:p>
            <w:r/>
            <w:r>
              <w:t>Cadre encastré à la charpente pour une entrée d'</w:t>
            </w:r>
            <w:r>
              <w:rPr>
                <w:b/>
              </w:rPr>
              <w:t>un mètre de large, sans fermeture</w:t>
            </w:r>
          </w:p>
        </w:tc>
        <w:tc>
          <w:tcPr>
            <w:tcW w:type="dxa" w:w="3249"/>
          </w:tcPr>
          <w:p>
            <w:r/>
            <w:r>
              <w:t xml:space="preserve">Cadre d'entrée de 1 m encastré, sans porte — </w:t>
            </w:r>
            <w:r>
              <w:rPr>
                <w:b/>
              </w:rPr>
              <w:t>conforme</w:t>
            </w:r>
          </w:p>
        </w:tc>
      </w:tr>
    </w:tbl>
    <w:p/>
    <w:p>
      <w:pPr>
        <w:pStyle w:val="Heading2"/>
      </w:pPr>
      <w:r/>
      <w:r>
        <w:t>4. MÉTHODOLOGIE D'EXÉCUTION</w:t>
      </w:r>
    </w:p>
    <w:p>
      <w:r>
        <w:rPr>
          <w:b/>
        </w:rPr>
        <w:t>Étape 1 — Lancement (J1).</w:t>
      </w:r>
      <w:r>
        <w:t xml:space="preserve"> Réunion de cadrage avec la Coordination Régionale de l'ONG ONEN Dosso, confirmation des échantillons de référence (notamment le tableau à chevalet disponible au bureau), validation des teintes de peinture et du calendrier de livraison.</w:t>
      </w:r>
    </w:p>
    <w:p>
      <w:r>
        <w:rPr>
          <w:b/>
        </w:rPr>
        <w:t>Étape 2 — Approvisionnement (J1 → J4).</w:t>
      </w:r>
      <w:r>
        <w:t xml:space="preserve"> Achat des matières premières auprès de nos fournisseurs habituels de Niamey : tubes carrés lourds (2,50 mm, 50/1,25, 30/1,25, 25/1,25), contreplaqués (10, 15, 18 et 20 mm), tôle 8/10, électrodes, antirouille, peinture à huile grise et peinture tableau, quincaillerie. Contrôle des épaisseurs à réception.</w:t>
      </w:r>
    </w:p>
    <w:p>
      <w:r>
        <w:rPr>
          <w:b/>
        </w:rPr>
        <w:t>Étape 3 — Production (J3 → J17).</w:t>
      </w:r>
      <w:r>
        <w:t xml:space="preserve"> Découpe, assemblage, soudure et menuiserie dans notre atelier de Niamey, sur deux lignes parallèles : ligne « mobilier » (tables-bancs, bureaux, chaises, tableaux) et ligne « charpente » (cadres de hangars). Un gabarit de fabrication est utilisé par type d'article afin de garantir des dimensions rigoureusement identiques.</w:t>
      </w:r>
    </w:p>
    <w:p>
      <w:r>
        <w:rPr>
          <w:b/>
        </w:rPr>
        <w:t>Étape 4 — Contrôle qualité (J10 → J17).</w:t>
      </w:r>
      <w:r>
        <w:t xml:space="preserve"> Contrôle dimensionnel de chaque pièce par rapport à la fiche technique, vérification des soudures, du traitement antirouille et de la peinture. Toute pièce non conforme est reprise avant chargement. Les articles sont marqués et regroupés par commune (Koygolo / Sokorbé) puis par centre.</w:t>
      </w:r>
    </w:p>
    <w:p>
      <w:r>
        <w:rPr>
          <w:b/>
        </w:rPr>
        <w:t>Étape 5 — Transport et réception provisoire (J17 → J19).</w:t>
      </w:r>
      <w:r>
        <w:t xml:space="preserve"> Chargement et transport Niamey → chefs-lieux de Koygolo et de Sokorbé. Vérification contradictoire de l'effectivité et de la qualité de la livraison en présence des représentants de MERCURE SARL, des agents de l'ONG ONEN, des autorités municipales et des points focaux communaux. Établissement du procès-verbal de réception provisoire et décharge des bordereaux au niveau des mairies.</w:t>
      </w:r>
    </w:p>
    <w:p>
      <w:r>
        <w:rPr>
          <w:b/>
        </w:rPr>
        <w:t>Étape 6 — Acheminement dans les 20 centres (J19 → J20).</w:t>
      </w:r>
      <w:r>
        <w:t xml:space="preserve"> Transport, à notre charge, des mobiliers des chefs-lieux vers les 20 villages bénéficiaires (10 par commune), déchargement, montage et implantation des cadres de hangars, puis décharge des bordereaux de réception par les comités de gestion des centres.</w:t>
      </w:r>
    </w:p>
    <w:p>
      <w:r>
        <w:rPr>
          <w:b/>
        </w:rPr>
        <w:t>Étape 7 — Service après-vente.</w:t>
      </w:r>
      <w:r>
        <w:t xml:space="preserve"> Suivi pendant les 24 mois de garantie, intervention sur site sous 10 jours après notification écrite.</w:t>
      </w:r>
    </w:p>
    <w:p>
      <w:pPr>
        <w:pStyle w:val="Heading2"/>
      </w:pPr>
      <w:r/>
      <w:r>
        <w:t>5. MOYENS AFFECTÉS AU MARCHÉ</w:t>
      </w:r>
    </w:p>
    <w:tbl>
      <w:tblPr>
        <w:tblStyle w:val="TableGrid"/>
        <w:tblW w:type="auto" w:w="0"/>
        <w:tblLook w:firstColumn="1" w:firstRow="1" w:lastColumn="0" w:lastRow="0" w:noHBand="0" w:noVBand="1" w:val="04A0"/>
      </w:tblPr>
      <w:tblGrid>
        <w:gridCol w:w="4873"/>
        <w:gridCol w:w="4873"/>
      </w:tblGrid>
      <w:tr>
        <w:tc>
          <w:tcPr>
            <w:tcW w:type="dxa" w:w="4873"/>
          </w:tcPr>
          <w:p>
            <w:r>
              <w:rPr>
                <w:b/>
              </w:rPr>
            </w:r>
            <w:r>
              <w:rPr>
                <w:b/>
              </w:rPr>
              <w:t>Ressource</w:t>
            </w:r>
          </w:p>
        </w:tc>
        <w:tc>
          <w:tcPr>
            <w:tcW w:type="dxa" w:w="4873"/>
          </w:tcPr>
          <w:p>
            <w:r>
              <w:rPr>
                <w:b/>
              </w:rPr>
            </w:r>
            <w:r>
              <w:rPr>
                <w:b/>
              </w:rPr>
              <w:t>Affectation</w:t>
            </w:r>
          </w:p>
        </w:tc>
      </w:tr>
      <w:tr>
        <w:tc>
          <w:tcPr>
            <w:tcW w:type="dxa" w:w="4873"/>
          </w:tcPr>
          <w:p>
            <w:r/>
            <w:r>
              <w:t>Chef de projet / responsable commercial</w:t>
            </w:r>
          </w:p>
        </w:tc>
        <w:tc>
          <w:tcPr>
            <w:tcW w:type="dxa" w:w="4873"/>
          </w:tcPr>
          <w:p>
            <w:r/>
            <w:r>
              <w:t>Interlocuteur unique de l'ONG ONEN, suivi du planning et des livraisons</w:t>
            </w:r>
          </w:p>
        </w:tc>
      </w:tr>
      <w:tr>
        <w:tc>
          <w:tcPr>
            <w:tcW w:type="dxa" w:w="4873"/>
          </w:tcPr>
          <w:p>
            <w:r/>
            <w:r>
              <w:t>Chef d'atelier</w:t>
            </w:r>
          </w:p>
        </w:tc>
        <w:tc>
          <w:tcPr>
            <w:tcW w:type="dxa" w:w="4873"/>
          </w:tcPr>
          <w:p>
            <w:r/>
            <w:r>
              <w:t>Supervision de la production et du contrôle qualité</w:t>
            </w:r>
          </w:p>
        </w:tc>
      </w:tr>
      <w:tr>
        <w:tc>
          <w:tcPr>
            <w:tcW w:type="dxa" w:w="4873"/>
          </w:tcPr>
          <w:p>
            <w:r/>
            <w:r>
              <w:t>Soudeurs et aides-soudeurs</w:t>
            </w:r>
          </w:p>
        </w:tc>
        <w:tc>
          <w:tcPr>
            <w:tcW w:type="dxa" w:w="4873"/>
          </w:tcPr>
          <w:p>
            <w:r/>
            <w:r>
              <w:t>Ligne mobilier et ligne charpente</w:t>
            </w:r>
          </w:p>
        </w:tc>
      </w:tr>
      <w:tr>
        <w:tc>
          <w:tcPr>
            <w:tcW w:type="dxa" w:w="4873"/>
          </w:tcPr>
          <w:p>
            <w:r/>
            <w:r>
              <w:t>Menuisiers</w:t>
            </w:r>
          </w:p>
        </w:tc>
        <w:tc>
          <w:tcPr>
            <w:tcW w:type="dxa" w:w="4873"/>
          </w:tcPr>
          <w:p>
            <w:r/>
            <w:r>
              <w:t>Découpe et pose des contreplaqués, baguettes et casiers</w:t>
            </w:r>
          </w:p>
        </w:tc>
      </w:tr>
      <w:tr>
        <w:tc>
          <w:tcPr>
            <w:tcW w:type="dxa" w:w="4873"/>
          </w:tcPr>
          <w:p>
            <w:r/>
            <w:r>
              <w:t>Peintres</w:t>
            </w:r>
          </w:p>
        </w:tc>
        <w:tc>
          <w:tcPr>
            <w:tcW w:type="dxa" w:w="4873"/>
          </w:tcPr>
          <w:p>
            <w:r/>
            <w:r>
              <w:t>Antirouille, peinture à huile grise, peinture tableau</w:t>
            </w:r>
          </w:p>
        </w:tc>
      </w:tr>
      <w:tr>
        <w:tc>
          <w:tcPr>
            <w:tcW w:type="dxa" w:w="4873"/>
          </w:tcPr>
          <w:p>
            <w:r/>
            <w:r>
              <w:t>Équipe de livraison et de montage</w:t>
            </w:r>
          </w:p>
        </w:tc>
        <w:tc>
          <w:tcPr>
            <w:tcW w:type="dxa" w:w="4873"/>
          </w:tcPr>
          <w:p>
            <w:r/>
            <w:r>
              <w:t>Chargement, transport, montage sur site</w:t>
            </w:r>
          </w:p>
        </w:tc>
      </w:tr>
      <w:tr>
        <w:tc>
          <w:tcPr>
            <w:tcW w:type="dxa" w:w="4873"/>
          </w:tcPr>
          <w:p>
            <w:r/>
            <w:r>
              <w:t>Matériel</w:t>
            </w:r>
          </w:p>
        </w:tc>
        <w:tc>
          <w:tcPr>
            <w:tcW w:type="dxa" w:w="4873"/>
          </w:tcPr>
          <w:p>
            <w:r/>
            <w:r>
              <w:t>Postes à souder, tronçonneuses à métaux, perceuses, gabarits de fabrication, compresseur et matériel de peinture, véhicules de transport</w:t>
            </w:r>
          </w:p>
        </w:tc>
      </w:tr>
    </w:tbl>
    <w:p/>
    <w:p>
      <w:pPr>
        <w:pStyle w:val="Heading2"/>
      </w:pPr>
      <w:r/>
      <w:r>
        <w:t>6. CAPACITÉ DE L'ENTREPRISE</w:t>
      </w:r>
    </w:p>
    <w:p>
      <w:r>
        <w:rPr>
          <w:b/>
        </w:rPr>
        <w:t>MERCURE SARL</w:t>
      </w:r>
      <w:r>
        <w:t xml:space="preserve">, créée en </w:t>
      </w:r>
      <w:r>
        <w:rPr>
          <w:b/>
        </w:rPr>
        <w:t>1989</w:t>
      </w:r>
      <w:r>
        <w:t xml:space="preserve"> et immatriculée sous le RCCM NI-NIM-2004-B-717 et le NIF 1392/R, exerce à Niamey dans la fourniture d'équipements scolaires et de bureau, la menuiserie métallique et bois, la librairie-papeterie, l'informatique-bureautique et la quincaillerie. Elle dispose d'un atelier de fabrication, d'une équipe technique permanente et d'une surface financière attestée par un expert-comptable indépendant :</w:t>
      </w:r>
    </w:p>
    <w:tbl>
      <w:tblPr>
        <w:tblStyle w:val="TableGrid"/>
        <w:tblW w:type="auto" w:w="0"/>
        <w:tblLook w:firstColumn="1" w:firstRow="1" w:lastColumn="0" w:lastRow="0" w:noHBand="0" w:noVBand="1" w:val="04A0"/>
      </w:tblPr>
      <w:tblGrid>
        <w:gridCol w:w="4873"/>
        <w:gridCol w:w="4873"/>
      </w:tblGrid>
      <w:tr>
        <w:tc>
          <w:tcPr>
            <w:tcW w:type="dxa" w:w="4873"/>
          </w:tcPr>
          <w:p>
            <w:r>
              <w:rPr>
                <w:b/>
              </w:rPr>
            </w:r>
            <w:r>
              <w:rPr>
                <w:b/>
              </w:rPr>
              <w:t>Exercice clos au 31 décembre</w:t>
            </w:r>
          </w:p>
        </w:tc>
        <w:tc>
          <w:tcPr>
            <w:tcW w:type="dxa" w:w="4873"/>
          </w:tcPr>
          <w:p>
            <w:r>
              <w:rPr>
                <w:b/>
              </w:rPr>
            </w:r>
            <w:r>
              <w:rPr>
                <w:b/>
              </w:rPr>
              <w:t>Chiffre d'affaires (FCFA)</w:t>
            </w:r>
          </w:p>
        </w:tc>
      </w:tr>
      <w:tr>
        <w:tc>
          <w:tcPr>
            <w:tcW w:type="dxa" w:w="4873"/>
          </w:tcPr>
          <w:p>
            <w:r/>
            <w:r>
              <w:t>2023</w:t>
            </w:r>
          </w:p>
        </w:tc>
        <w:tc>
          <w:tcPr>
            <w:tcW w:type="dxa" w:w="4873"/>
          </w:tcPr>
          <w:p>
            <w:r/>
            <w:r>
              <w:t>423 741 086</w:t>
            </w:r>
          </w:p>
        </w:tc>
      </w:tr>
      <w:tr>
        <w:tc>
          <w:tcPr>
            <w:tcW w:type="dxa" w:w="4873"/>
          </w:tcPr>
          <w:p>
            <w:r/>
            <w:r>
              <w:t>2024</w:t>
            </w:r>
          </w:p>
        </w:tc>
        <w:tc>
          <w:tcPr>
            <w:tcW w:type="dxa" w:w="4873"/>
          </w:tcPr>
          <w:p>
            <w:r/>
            <w:r>
              <w:t>234 357 981</w:t>
            </w:r>
          </w:p>
        </w:tc>
      </w:tr>
      <w:tr>
        <w:tc>
          <w:tcPr>
            <w:tcW w:type="dxa" w:w="4873"/>
          </w:tcPr>
          <w:p>
            <w:r/>
            <w:r>
              <w:t>2025</w:t>
            </w:r>
          </w:p>
        </w:tc>
        <w:tc>
          <w:tcPr>
            <w:tcW w:type="dxa" w:w="4873"/>
          </w:tcPr>
          <w:p>
            <w:r/>
            <w:r>
              <w:t>161 293 480</w:t>
            </w:r>
          </w:p>
        </w:tc>
      </w:tr>
    </w:tbl>
    <w:p/>
    <w:p>
      <w:r>
        <w:rPr>
          <w:i/>
        </w:rPr>
        <w:t>(Attestation de chiffre d'affaires délivrée le 16 juillet 2026 par le Cabinet YERO Audit &amp; Conseil, Expert-Comptable Diplômé, Commissaire aux Comptes — jointe au dossier.)</w:t>
      </w:r>
    </w:p>
    <w:p>
      <w:r>
        <w:t>Cette assise financière garantit à l'ONG ONEN notre capacité à préfinancer l'intégralité des matières premières et du transport et à livrer les 20 centres dans le délai de 20 jours annoncé.</w:t>
      </w:r>
    </w:p>
    <w:p>
      <w:pPr>
        <w:pStyle w:val="Heading2"/>
      </w:pPr>
      <w:r/>
      <w:r>
        <w:t>7. ENGAGEMENT QUALITÉ</w:t>
      </w:r>
    </w:p>
    <w:p>
      <w:r>
        <w:t>MERCURE SARL s'engage à livrer des mobiliers strictement conformes aux spécifications des TDR, à remplacer à ses frais tout article non conforme constaté lors de la réception, et à accompagner l'ONG ONEN et les mairies jusqu'à l'installation effective dans les 20 centres SSA/P.</w:t>
      </w:r>
    </w:p>
    <w:p>
      <w:r>
        <w:t>Fait à Niamey, le ……… / ……… / 2026</w:t>
      </w:r>
    </w:p>
    <w:p>
      <w:r>
        <w:rPr>
          <w:b/>
        </w:rPr>
        <w:t>Le Directeur Général — M. William TANOUS MELHEM AWAD</w:t>
      </w:r>
    </w:p>
    <w:p>
      <w:r>
        <w:rPr>
          <w:i/>
        </w:rPr>
        <w:t>(Signature et cachet)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