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DEVIS QUANTITATIF ET ESTIMATIF</w:t>
      </w:r>
    </w:p>
    <w:p>
      <w:r>
        <w:rPr>
          <w:b/>
        </w:rPr>
        <w:t>MERCURE SARL — RCCM : NI-NIM-2004-B-717 — NIF : 1392/R</w:t>
      </w:r>
    </w:p>
    <w:p>
      <w:r>
        <w:rPr>
          <w:b/>
        </w:rPr>
        <w:t>AO N° 007/2026/ONEN/FONDATION STROMME/DO — Lot unique</w:t>
      </w:r>
    </w:p>
    <w:p>
      <w:r>
        <w:rPr>
          <w:b/>
        </w:rPr>
        <w:t>Monnaie : Franc CFA (FCFA)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>
              <w:rPr>
                <w:b/>
              </w:rPr>
            </w:r>
            <w:r>
              <w:rPr>
                <w:b/>
              </w:rPr>
              <w:t>N°</w:t>
            </w:r>
          </w:p>
        </w:tc>
        <w:tc>
          <w:tcPr>
            <w:tcW w:type="dxa" w:w="1392"/>
          </w:tcPr>
          <w:p>
            <w:r>
              <w:rPr>
                <w:b/>
              </w:rPr>
            </w:r>
            <w:r>
              <w:rPr>
                <w:b/>
              </w:rPr>
              <w:t>Désignation</w:t>
            </w:r>
          </w:p>
        </w:tc>
        <w:tc>
          <w:tcPr>
            <w:tcW w:type="dxa" w:w="1392"/>
          </w:tcPr>
          <w:p>
            <w:r>
              <w:rPr>
                <w:b/>
              </w:rPr>
            </w:r>
            <w:r>
              <w:rPr>
                <w:b/>
              </w:rPr>
              <w:t>Spécifications essentielles (TDR)</w:t>
            </w:r>
          </w:p>
        </w:tc>
        <w:tc>
          <w:tcPr>
            <w:tcW w:type="dxa" w:w="1392"/>
          </w:tcPr>
          <w:p>
            <w:r>
              <w:rPr>
                <w:b/>
              </w:rPr>
            </w:r>
            <w:r>
              <w:rPr>
                <w:b/>
              </w:rPr>
              <w:t>Unité</w:t>
            </w:r>
          </w:p>
        </w:tc>
        <w:tc>
          <w:tcPr>
            <w:tcW w:type="dxa" w:w="1392"/>
          </w:tcPr>
          <w:p>
            <w:r>
              <w:rPr>
                <w:b/>
              </w:rPr>
            </w:r>
            <w:r>
              <w:rPr>
                <w:b/>
              </w:rPr>
              <w:t>Qté</w:t>
            </w:r>
          </w:p>
        </w:tc>
        <w:tc>
          <w:tcPr>
            <w:tcW w:type="dxa" w:w="1392"/>
          </w:tcPr>
          <w:p>
            <w:r>
              <w:rPr>
                <w:b/>
              </w:rPr>
            </w:r>
            <w:r>
              <w:rPr>
                <w:b/>
              </w:rPr>
              <w:t>Prix unitaire (FCFA)</w:t>
            </w:r>
          </w:p>
        </w:tc>
        <w:tc>
          <w:tcPr>
            <w:tcW w:type="dxa" w:w="1392"/>
          </w:tcPr>
          <w:p>
            <w:r>
              <w:rPr>
                <w:b/>
              </w:rPr>
            </w:r>
            <w:r>
              <w:rPr>
                <w:b/>
              </w:rPr>
              <w:t>Montant total (FCFA)</w:t>
            </w:r>
          </w:p>
        </w:tc>
      </w:tr>
      <w:tr>
        <w:tc>
          <w:tcPr>
            <w:tcW w:type="dxa" w:w="1392"/>
          </w:tcPr>
          <w:p>
            <w:r/>
            <w:r>
              <w:t>1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Tables-bancs</w:t>
            </w:r>
          </w:p>
        </w:tc>
        <w:tc>
          <w:tcPr>
            <w:tcW w:type="dxa" w:w="1392"/>
          </w:tcPr>
          <w:p>
            <w:r/>
            <w:r>
              <w:t>Tube carré lourd 2,50 mm ; plateau et banc en bois blanc ou contreplaqué 15 mm doublé ; H 0,70 m ; L 1,20 m ; largeur table 37 cm ; casier en contreplaqué 10 mm</w:t>
            </w:r>
          </w:p>
        </w:tc>
        <w:tc>
          <w:tcPr>
            <w:tcW w:type="dxa" w:w="1392"/>
          </w:tcPr>
          <w:p>
            <w:r/>
            <w:r>
              <w:t>U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200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</w:tr>
      <w:tr>
        <w:tc>
          <w:tcPr>
            <w:tcW w:type="dxa" w:w="1392"/>
          </w:tcPr>
          <w:p>
            <w:r/>
            <w:r>
              <w:t>2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Tables (bureaux) enseignant</w:t>
            </w:r>
          </w:p>
        </w:tc>
        <w:tc>
          <w:tcPr>
            <w:tcW w:type="dxa" w:w="1392"/>
          </w:tcPr>
          <w:p>
            <w:r/>
            <w:r>
              <w:t>Cadre tube carré lourd 30 mm ; dessus contreplaqué 20 mm ; 1,20 m × 0,60 m ; peinture à huile grise</w:t>
            </w:r>
          </w:p>
        </w:tc>
        <w:tc>
          <w:tcPr>
            <w:tcW w:type="dxa" w:w="1392"/>
          </w:tcPr>
          <w:p>
            <w:r/>
            <w:r>
              <w:t>U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20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</w:tr>
      <w:tr>
        <w:tc>
          <w:tcPr>
            <w:tcW w:type="dxa" w:w="1392"/>
          </w:tcPr>
          <w:p>
            <w:r/>
            <w:r>
              <w:t>3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Chaises pour animateurs</w:t>
            </w:r>
          </w:p>
        </w:tc>
        <w:tc>
          <w:tcPr>
            <w:tcW w:type="dxa" w:w="1392"/>
          </w:tcPr>
          <w:p>
            <w:r/>
            <w:r>
              <w:t>Tube carré lourd 25 / 1,25 ; tôle 8/10 ; peinture à huile grise</w:t>
            </w:r>
          </w:p>
        </w:tc>
        <w:tc>
          <w:tcPr>
            <w:tcW w:type="dxa" w:w="1392"/>
          </w:tcPr>
          <w:p>
            <w:r/>
            <w:r>
              <w:t>U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20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</w:tr>
      <w:tr>
        <w:tc>
          <w:tcPr>
            <w:tcW w:type="dxa" w:w="1392"/>
          </w:tcPr>
          <w:p>
            <w:r/>
            <w:r>
              <w:t>4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Tableaux à chevalet</w:t>
            </w:r>
          </w:p>
        </w:tc>
        <w:tc>
          <w:tcPr>
            <w:tcW w:type="dxa" w:w="1392"/>
          </w:tcPr>
          <w:p>
            <w:r/>
            <w:r>
              <w:t>Panneau contreplaqué 18 mm, 224 cm × 122 cm, baguette 5 cm sur les deux faces ; chevalet 2 pieds en tube carré 30 mm / 1,25 mm</w:t>
            </w:r>
          </w:p>
        </w:tc>
        <w:tc>
          <w:tcPr>
            <w:tcW w:type="dxa" w:w="1392"/>
          </w:tcPr>
          <w:p>
            <w:r/>
            <w:r>
              <w:t>U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20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</w:tr>
      <w:tr>
        <w:tc>
          <w:tcPr>
            <w:tcW w:type="dxa" w:w="1392"/>
          </w:tcPr>
          <w:p>
            <w:r/>
            <w:r>
              <w:t>5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Règles plastiques graduées</w:t>
            </w:r>
          </w:p>
        </w:tc>
        <w:tc>
          <w:tcPr>
            <w:tcW w:type="dxa" w:w="1392"/>
          </w:tcPr>
          <w:p>
            <w:r/>
            <w:r>
              <w:t>Règle plastique graduée de 1 m</w:t>
            </w:r>
          </w:p>
        </w:tc>
        <w:tc>
          <w:tcPr>
            <w:tcW w:type="dxa" w:w="1392"/>
          </w:tcPr>
          <w:p>
            <w:r/>
            <w:r>
              <w:t>U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20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</w:tr>
      <w:tr>
        <w:tc>
          <w:tcPr>
            <w:tcW w:type="dxa" w:w="1392"/>
          </w:tcPr>
          <w:p>
            <w:r/>
            <w:r>
              <w:t>6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Cadres de hangars métalliques</w:t>
            </w:r>
          </w:p>
        </w:tc>
        <w:tc>
          <w:tcPr>
            <w:tcW w:type="dxa" w:w="1392"/>
          </w:tcPr>
          <w:p>
            <w:r/>
            <w:r>
              <w:t>6 m × 5 m, H 2,50 m dont 0,50 m enfoui ; charpente encastrée tube carré lourd 50/1,25 ; 14 pieds dont 1 central de 2,50 m ; traverse faîtière 50/1,25 ; 6 rangées de 30/1,25 à ± 75 cm ; cadre d'entrée de 1 m ; antirouille + peinture à huile renforcée sur parties enfouies</w:t>
            </w:r>
          </w:p>
        </w:tc>
        <w:tc>
          <w:tcPr>
            <w:tcW w:type="dxa" w:w="1392"/>
          </w:tcPr>
          <w:p>
            <w:r/>
            <w:r>
              <w:t>U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20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</w:tr>
      <w:tr>
        <w:tc>
          <w:tcPr>
            <w:tcW w:type="dxa" w:w="1392"/>
          </w:tcPr>
          <w:p>
            <w:r/>
            <w:r>
              <w:t>7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Transport et livraison</w:t>
            </w:r>
          </w:p>
        </w:tc>
        <w:tc>
          <w:tcPr>
            <w:tcW w:type="dxa" w:w="1392"/>
          </w:tcPr>
          <w:p>
            <w:r/>
            <w:r>
              <w:t>Livraison dans les chefs-lieux des communes rurales de Koygolo et de Sokorbé, puis acheminement, déchargement et montage dans les 20 centres SSA/P</w:t>
            </w:r>
          </w:p>
        </w:tc>
        <w:tc>
          <w:tcPr>
            <w:tcW w:type="dxa" w:w="1392"/>
          </w:tcPr>
          <w:p>
            <w:r/>
            <w:r>
              <w:t>Forfait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Montant (FCFA)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TOTAL GÉNÉRAL HORS TAXES</w:t>
            </w:r>
          </w:p>
        </w:tc>
        <w:tc>
          <w:tcPr>
            <w:tcW w:type="dxa" w:w="4873"/>
          </w:tcPr>
          <w:p>
            <w:r/>
            <w:r>
              <w:t>………………………………</w:t>
            </w:r>
          </w:p>
        </w:tc>
      </w:tr>
      <w:tr>
        <w:tc>
          <w:tcPr>
            <w:tcW w:type="dxa" w:w="4873"/>
          </w:tcPr>
          <w:p>
            <w:r/>
            <w:r>
              <w:t>Prélèvement ISB 2 % (reversé au Trésor Public)</w:t>
            </w:r>
          </w:p>
        </w:tc>
        <w:tc>
          <w:tcPr>
            <w:tcW w:type="dxa" w:w="4873"/>
          </w:tcPr>
          <w:p>
            <w:r/>
            <w:r>
              <w:t>………………………………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NET À PERCEVOIR</w:t>
            </w:r>
          </w:p>
        </w:tc>
        <w:tc>
          <w:tcPr>
            <w:tcW w:type="dxa" w:w="4873"/>
          </w:tcPr>
          <w:p>
            <w:r/>
            <w:r>
              <w:t>………………………………</w:t>
            </w:r>
          </w:p>
        </w:tc>
      </w:tr>
    </w:tbl>
    <w:p/>
    <w:p>
      <w:r>
        <w:rPr>
          <w:b/>
        </w:rPr>
        <w:t>Arrêté le présent devis à la somme totale de :</w:t>
      </w:r>
      <w:r>
        <w:t xml:space="preserve"> ………………………………………………………………………………………………………… Francs CFA.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2"/>
      </w:pPr>
      <w:r/>
      <w:r>
        <w:t>RÉPARTITION PAR COMMUNE (pour information — livraison)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Désignation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Koygolo (10 centres)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Sokorbé (10 centres)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Total</w:t>
            </w:r>
          </w:p>
        </w:tc>
      </w:tr>
      <w:tr>
        <w:tc>
          <w:tcPr>
            <w:tcW w:type="dxa" w:w="2436"/>
          </w:tcPr>
          <w:p>
            <w:r/>
            <w:r>
              <w:t>Tables-bancs</w:t>
            </w:r>
          </w:p>
        </w:tc>
        <w:tc>
          <w:tcPr>
            <w:tcW w:type="dxa" w:w="2436"/>
          </w:tcPr>
          <w:p>
            <w:r/>
            <w:r>
              <w:t>100</w:t>
            </w:r>
          </w:p>
        </w:tc>
        <w:tc>
          <w:tcPr>
            <w:tcW w:type="dxa" w:w="2436"/>
          </w:tcPr>
          <w:p>
            <w:r/>
            <w:r>
              <w:t>100</w:t>
            </w:r>
          </w:p>
        </w:tc>
        <w:tc>
          <w:tcPr>
            <w:tcW w:type="dxa" w:w="2436"/>
          </w:tcPr>
          <w:p>
            <w:r/>
            <w:r>
              <w:t>200</w:t>
            </w:r>
          </w:p>
        </w:tc>
      </w:tr>
      <w:tr>
        <w:tc>
          <w:tcPr>
            <w:tcW w:type="dxa" w:w="2436"/>
          </w:tcPr>
          <w:p>
            <w:r/>
            <w:r>
              <w:t>Tableaux à chevalet</w:t>
            </w:r>
          </w:p>
        </w:tc>
        <w:tc>
          <w:tcPr>
            <w:tcW w:type="dxa" w:w="2436"/>
          </w:tcPr>
          <w:p>
            <w:r/>
            <w:r>
              <w:t>10</w:t>
            </w:r>
          </w:p>
        </w:tc>
        <w:tc>
          <w:tcPr>
            <w:tcW w:type="dxa" w:w="2436"/>
          </w:tcPr>
          <w:p>
            <w:r/>
            <w:r>
              <w:t>10</w:t>
            </w:r>
          </w:p>
        </w:tc>
        <w:tc>
          <w:tcPr>
            <w:tcW w:type="dxa" w:w="2436"/>
          </w:tcPr>
          <w:p>
            <w:r/>
            <w:r>
              <w:t>20</w:t>
            </w:r>
          </w:p>
        </w:tc>
      </w:tr>
      <w:tr>
        <w:tc>
          <w:tcPr>
            <w:tcW w:type="dxa" w:w="2436"/>
          </w:tcPr>
          <w:p>
            <w:r/>
            <w:r>
              <w:t>Règles</w:t>
            </w:r>
          </w:p>
        </w:tc>
        <w:tc>
          <w:tcPr>
            <w:tcW w:type="dxa" w:w="2436"/>
          </w:tcPr>
          <w:p>
            <w:r/>
            <w:r>
              <w:t>10</w:t>
            </w:r>
          </w:p>
        </w:tc>
        <w:tc>
          <w:tcPr>
            <w:tcW w:type="dxa" w:w="2436"/>
          </w:tcPr>
          <w:p>
            <w:r/>
            <w:r>
              <w:t>10</w:t>
            </w:r>
          </w:p>
        </w:tc>
        <w:tc>
          <w:tcPr>
            <w:tcW w:type="dxa" w:w="2436"/>
          </w:tcPr>
          <w:p>
            <w:r/>
            <w:r>
              <w:t>20</w:t>
            </w:r>
          </w:p>
        </w:tc>
      </w:tr>
      <w:tr>
        <w:tc>
          <w:tcPr>
            <w:tcW w:type="dxa" w:w="2436"/>
          </w:tcPr>
          <w:p>
            <w:r/>
            <w:r>
              <w:t>Tables (bureaux) enseignant</w:t>
            </w:r>
          </w:p>
        </w:tc>
        <w:tc>
          <w:tcPr>
            <w:tcW w:type="dxa" w:w="2436"/>
          </w:tcPr>
          <w:p>
            <w:r/>
            <w:r>
              <w:t>10</w:t>
            </w:r>
          </w:p>
        </w:tc>
        <w:tc>
          <w:tcPr>
            <w:tcW w:type="dxa" w:w="2436"/>
          </w:tcPr>
          <w:p>
            <w:r/>
            <w:r>
              <w:t>10</w:t>
            </w:r>
          </w:p>
        </w:tc>
        <w:tc>
          <w:tcPr>
            <w:tcW w:type="dxa" w:w="2436"/>
          </w:tcPr>
          <w:p>
            <w:r/>
            <w:r>
              <w:t>20</w:t>
            </w:r>
          </w:p>
        </w:tc>
      </w:tr>
      <w:tr>
        <w:tc>
          <w:tcPr>
            <w:tcW w:type="dxa" w:w="2436"/>
          </w:tcPr>
          <w:p>
            <w:r/>
            <w:r>
              <w:t>Chaises</w:t>
            </w:r>
          </w:p>
        </w:tc>
        <w:tc>
          <w:tcPr>
            <w:tcW w:type="dxa" w:w="2436"/>
          </w:tcPr>
          <w:p>
            <w:r/>
            <w:r>
              <w:t>10</w:t>
            </w:r>
          </w:p>
        </w:tc>
        <w:tc>
          <w:tcPr>
            <w:tcW w:type="dxa" w:w="2436"/>
          </w:tcPr>
          <w:p>
            <w:r/>
            <w:r>
              <w:t>10</w:t>
            </w:r>
          </w:p>
        </w:tc>
        <w:tc>
          <w:tcPr>
            <w:tcW w:type="dxa" w:w="2436"/>
          </w:tcPr>
          <w:p>
            <w:r/>
            <w:r>
              <w:t>20</w:t>
            </w:r>
          </w:p>
        </w:tc>
      </w:tr>
      <w:tr>
        <w:tc>
          <w:tcPr>
            <w:tcW w:type="dxa" w:w="2436"/>
          </w:tcPr>
          <w:p>
            <w:r/>
            <w:r>
              <w:t>Cadres de hangars métalliques</w:t>
            </w:r>
          </w:p>
        </w:tc>
        <w:tc>
          <w:tcPr>
            <w:tcW w:type="dxa" w:w="2436"/>
          </w:tcPr>
          <w:p>
            <w:r/>
            <w:r>
              <w:t>10</w:t>
            </w:r>
          </w:p>
        </w:tc>
        <w:tc>
          <w:tcPr>
            <w:tcW w:type="dxa" w:w="2436"/>
          </w:tcPr>
          <w:p>
            <w:r/>
            <w:r>
              <w:t>10</w:t>
            </w:r>
          </w:p>
        </w:tc>
        <w:tc>
          <w:tcPr>
            <w:tcW w:type="dxa" w:w="2436"/>
          </w:tcPr>
          <w:p>
            <w:r/>
            <w:r>
              <w:t>20</w:t>
            </w:r>
          </w:p>
        </w:tc>
      </w:tr>
    </w:tbl>
    <w:p/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2"/>
      </w:pPr>
      <w:r/>
      <w:r>
        <w:t xml:space="preserve">NOTE INTERNE — À TRAITER AVANT CHIFFRAGE </w:t>
      </w:r>
      <w:r>
        <w:rPr>
          <w:i/>
        </w:rPr>
        <w:t>(à retirer avant dépôt)</w:t>
      </w:r>
    </w:p>
    <w:p>
      <w:r>
        <w:t>Les prix unitaires doivent être arrêtés par la Direction. Points de vigilance :</w:t>
      </w:r>
    </w:p>
    <w:p>
      <w:pPr>
        <w:pStyle w:val="ListNumber"/>
      </w:pPr>
      <w:r>
        <w:rPr>
          <w:b/>
        </w:rPr>
        <w:t>Le prix est noté sur 30 points selon le principe du mieux disant</w:t>
      </w:r>
    </w:p>
    <w:p>
      <w:r>
        <w:t>(note = prix du moins disant × 30 / prix de MERCURE). Chaque écart de prix se paie directement en points : viser une marge maîtrisée plutôt qu'un prix confortable.</w:t>
      </w:r>
    </w:p>
    <w:p>
      <w:pPr>
        <w:pStyle w:val="ListNumber"/>
      </w:pPr>
      <w:r>
        <w:rPr>
          <w:b/>
        </w:rPr>
        <w:t>Intégrer impérativement dans les prix unitaires :</w:t>
      </w:r>
      <w:r>
        <w:t xml:space="preserve"> matières premières (cours du jour</w:t>
      </w:r>
    </w:p>
    <w:p>
      <w:r>
        <w:t>des tubes carrés et des contreplaqués), main-d'œuvre atelier, antirouille et peinture, consommables de soudure, casse et chutes, conditionnement.</w:t>
      </w:r>
    </w:p>
    <w:p>
      <w:pPr>
        <w:pStyle w:val="ListNumber"/>
      </w:pPr>
      <w:r>
        <w:rPr>
          <w:b/>
        </w:rPr>
        <w:t>Le poste transport (ligne 7) est double :</w:t>
      </w:r>
      <w:r>
        <w:t xml:space="preserve"> Niamey → chefs-lieux de Koygolo et de</w:t>
      </w:r>
    </w:p>
    <w:p>
      <w:r>
        <w:t xml:space="preserve">Sokorbé, </w:t>
      </w:r>
      <w:r>
        <w:rPr>
          <w:b/>
        </w:rPr>
        <w:t>puis</w:t>
      </w:r>
      <w:r>
        <w:t xml:space="preserve"> chefs-lieux → 20 villages, ces derniers trajets étant expressément à la charge du fournisseur (art. VII des TDR). Prévoir les rotations, le carburant, la manutention et le montage des 20 hangars sur site.</w:t>
      </w:r>
    </w:p>
    <w:p>
      <w:pPr>
        <w:pStyle w:val="ListNumber"/>
      </w:pPr>
      <w:r>
        <w:rPr>
          <w:b/>
        </w:rPr>
        <w:t>Prendre en compte le prélèvement ISB de 2 %</w:t>
      </w:r>
      <w:r>
        <w:t xml:space="preserve"> dans le calcul de la marge nette, sauf</w:t>
      </w:r>
    </w:p>
    <w:p>
      <w:r>
        <w:t>attestation de dispense.</w:t>
      </w:r>
    </w:p>
    <w:p>
      <w:pPr>
        <w:pStyle w:val="ListNumber"/>
      </w:pPr>
      <w:r>
        <w:rPr>
          <w:b/>
        </w:rPr>
        <w:t>Prévoir la trésorerie de préfinancement :</w:t>
      </w:r>
      <w:r>
        <w:t xml:space="preserve"> le paiement intervient après réception.</w:t>
      </w:r>
    </w:p>
    <w:p>
      <w:pPr>
        <w:pStyle w:val="ListNumber"/>
      </w:pPr>
      <w:r>
        <w:rPr>
          <w:b/>
        </w:rPr>
        <w:t>Contrôler l'arithmétique deux fois</w:t>
      </w:r>
      <w:r>
        <w:t xml:space="preserve"> (PU × Qté, puis somme des lignes) : le total du</w:t>
      </w:r>
    </w:p>
    <w:p>
      <w:r>
        <w:t>devis doit être rigoureusement identique au montant écrit en lettres dans la lettre de soumission financière — toute discordance est un motif classique de rejet.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