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PLAN D'ACTION COMMERCIAL — AO N° 007/2026/ONEN/FONDATION STROMME/DO</w:t>
      </w:r>
    </w:p>
    <w:p>
      <w:r>
        <w:rPr>
          <w:b/>
        </w:rPr>
        <w:t>MERCURE SARL — Service Commercial</w:t>
      </w:r>
    </w:p>
    <w:p>
      <w:r>
        <w:rPr>
          <w:b/>
        </w:rPr>
        <w:t>Échéance impérative : vendredi 04 septembre 2026 (dépouillement le même jour à 16 h 15)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1. CONTENU DU PRÉSENT DOSSIER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Fichier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État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PAGE_DE_GARDE.pdf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Page de garde</w:t>
            </w:r>
            <w:r>
              <w:t xml:space="preserve"> — maquette MERCURE d'origine conservée (photos d'activités incluses), emblème ONEN, référence et objet du DAO. À imprimer en 2 exemplaires (une par enveloppe)</w:t>
            </w:r>
          </w:p>
        </w:tc>
        <w:tc>
          <w:tcPr>
            <w:tcW w:type="dxa" w:w="3249"/>
          </w:tcPr>
          <w:p>
            <w:r/>
            <w:r>
              <w:t>✅ prête à imprimer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00_SOMMAIRE_DU_DOSSIER.md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Sommaire général numéroté</w:t>
            </w:r>
            <w:r>
              <w:t xml:space="preserve"> — plan d'assemblage des 31 pièces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01_PAGE_DE_GARDE.md</w:t>
            </w:r>
          </w:p>
        </w:tc>
        <w:tc>
          <w:tcPr>
            <w:tcW w:type="dxa" w:w="3249"/>
          </w:tcPr>
          <w:p>
            <w:r/>
            <w:r>
              <w:t>Descriptif de la page de garde et de ses fichiers sources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02_LETTRE_DE_SOUMISSION.md</w:t>
            </w:r>
          </w:p>
        </w:tc>
        <w:tc>
          <w:tcPr>
            <w:tcW w:type="dxa" w:w="3249"/>
          </w:tcPr>
          <w:p>
            <w:r/>
            <w:r>
              <w:t>Lettre de transmission de l'offre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03_ANNEXE1_FORMULAIRE_INFORMATION.md</w:t>
            </w:r>
          </w:p>
        </w:tc>
        <w:tc>
          <w:tcPr>
            <w:tcW w:type="dxa" w:w="3249"/>
          </w:tcPr>
          <w:p>
            <w:r/>
            <w:r>
              <w:t>Annexe 1 ONEN pré-remplie aux données MERCURE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04_ANNEXE2_LETTRE_ENGAGEMENT.md</w:t>
            </w:r>
          </w:p>
        </w:tc>
        <w:tc>
          <w:tcPr>
            <w:tcW w:type="dxa" w:w="3249"/>
          </w:tcPr>
          <w:p>
            <w:r/>
            <w:r>
              <w:t>Annexe 2 ONEN — lettre d'engagement (5 pts)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05_ANNEXE3_TABLEAU_EXPERIENCES.md</w:t>
            </w:r>
          </w:p>
        </w:tc>
        <w:tc>
          <w:tcPr>
            <w:tcW w:type="dxa" w:w="3249"/>
          </w:tcPr>
          <w:p>
            <w:r/>
            <w:r>
              <w:t>Annexe 3 ONEN — tableau des 5 expériences (25 pts)</w:t>
            </w:r>
          </w:p>
        </w:tc>
        <w:tc>
          <w:tcPr>
            <w:tcW w:type="dxa" w:w="3249"/>
          </w:tcPr>
          <w:p>
            <w:r/>
            <w:r>
              <w:t>⚠️ à compléter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06_DECLARATION_SUR_LHONNEUR.md</w:t>
            </w:r>
          </w:p>
        </w:tc>
        <w:tc>
          <w:tcPr>
            <w:tcW w:type="dxa" w:w="3249"/>
          </w:tcPr>
          <w:p>
            <w:r/>
            <w:r>
              <w:t>Déclarations de l'article XV des TDR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07_ENGAGEMENT_DELAIS_ET_GARANTIE.md</w:t>
            </w:r>
          </w:p>
        </w:tc>
        <w:tc>
          <w:tcPr>
            <w:tcW w:type="dxa" w:w="3249"/>
          </w:tcPr>
          <w:p>
            <w:r/>
            <w:r>
              <w:t>Délai de livraison 20 j + garantie 24 mois (20 pts)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08_MEMOIRE_TECHNIQUE.md</w:t>
            </w:r>
          </w:p>
        </w:tc>
        <w:tc>
          <w:tcPr>
            <w:tcW w:type="dxa" w:w="3249"/>
          </w:tcPr>
          <w:p>
            <w:r/>
            <w:r>
              <w:t>Fiches techniques article par article + méthodologie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09_OFFRE_FINANCIERE_LETTRE.md</w:t>
            </w:r>
          </w:p>
        </w:tc>
        <w:tc>
          <w:tcPr>
            <w:tcW w:type="dxa" w:w="3249"/>
          </w:tcPr>
          <w:p>
            <w:r/>
            <w:r>
              <w:t>Lettre de soumission financière</w:t>
            </w:r>
          </w:p>
        </w:tc>
        <w:tc>
          <w:tcPr>
            <w:tcW w:type="dxa" w:w="3249"/>
          </w:tcPr>
          <w:p>
            <w:r/>
            <w:r>
              <w:t>⚠️ montant à saisir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10_DEVIS_QUANTITATIF_ET_ESTIMATIF.md</w:t>
            </w:r>
          </w:p>
        </w:tc>
        <w:tc>
          <w:tcPr>
            <w:tcW w:type="dxa" w:w="3249"/>
          </w:tcPr>
          <w:p>
            <w:r/>
            <w:r>
              <w:t>Devis quantitatif et estimatif (30 pts)</w:t>
            </w:r>
          </w:p>
        </w:tc>
        <w:tc>
          <w:tcPr>
            <w:tcW w:type="dxa" w:w="3249"/>
          </w:tcPr>
          <w:p>
            <w:r/>
            <w:r>
              <w:t>⚠️ prix à arrêter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11_ETIQUETTES_ENVELOPPES.md</w:t>
            </w:r>
          </w:p>
        </w:tc>
        <w:tc>
          <w:tcPr>
            <w:tcW w:type="dxa" w:w="3249"/>
          </w:tcPr>
          <w:p>
            <w:r/>
            <w:r>
              <w:t>Étiquettes des plis et instructions de dépôt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12_LISTE_MARCHES_SIMILAIRES.md</w:t>
            </w:r>
          </w:p>
        </w:tc>
        <w:tc>
          <w:tcPr>
            <w:tcW w:type="dxa" w:w="3249"/>
          </w:tcPr>
          <w:p>
            <w:r/>
            <w:r>
              <w:t>Liste des marchés similaires exécutés (pièce d'appui)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assets/</w:t>
            </w:r>
          </w:p>
        </w:tc>
        <w:tc>
          <w:tcPr>
            <w:tcW w:type="dxa" w:w="3249"/>
          </w:tcPr>
          <w:p>
            <w:r/>
            <w:r>
              <w:t>Maquette MERCURE d'origine, logo ONEN, en-tête corrigé, script de génération de la page de garde</w:t>
            </w:r>
          </w:p>
        </w:tc>
        <w:tc>
          <w:tcPr>
            <w:tcW w:type="dxa" w:w="3249"/>
          </w:tcPr>
          <w:p>
            <w:r/>
            <w:r>
              <w:t>✅</w:t>
            </w:r>
          </w:p>
        </w:tc>
      </w:tr>
    </w:tbl>
    <w:p/>
    <w:p>
      <w:r>
        <w:t xml:space="preserve">Une version </w:t>
      </w:r>
      <w:r>
        <w:rPr>
          <w:b/>
        </w:rPr>
        <w:t>Word (.docx)</w:t>
      </w:r>
      <w:r>
        <w:t xml:space="preserve"> de chaque document est disponible dans le sous-dossier </w:t>
      </w:r>
      <w:r>
        <w:rPr>
          <w:rFonts w:ascii="Consolas" w:hAnsi="Consolas"/>
        </w:rPr>
        <w:t>docx/</w:t>
      </w:r>
      <w:r>
        <w:t>, prête à être imprimée sur le papier à en-tête MERCURE SARL, signée et cachetée.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2. PIÈCES À OBTENIR À L'EXTÉRIEUR — À LANCER IMMÉDIATEMENT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Priorité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Pièce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Où l'obtenir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Observation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ARF — Attestation de Régularité Fiscale</w:t>
            </w:r>
            <w:r>
              <w:t xml:space="preserve"> (copie légalisée)</w:t>
            </w:r>
          </w:p>
        </w:tc>
        <w:tc>
          <w:tcPr>
            <w:tcW w:type="dxa" w:w="2436"/>
          </w:tcPr>
          <w:p>
            <w:r/>
            <w:r>
              <w:t>Direction Générale des Impôts (service fiscal de rattachement : CGE III)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Pièce éliminatoire.</w:t>
            </w:r>
            <w:r>
              <w:t xml:space="preserve"> Vérifier la validité à la date du dépôt. Délai administratif à anticiper.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Attestation de non-faillite</w:t>
            </w:r>
          </w:p>
        </w:tc>
        <w:tc>
          <w:tcPr>
            <w:tcW w:type="dxa" w:w="2436"/>
          </w:tcPr>
          <w:p>
            <w:r/>
            <w:r>
              <w:t>Greffe du Tribunal de Commerce de Niamey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Pièce éliminatoire.</w:t>
            </w:r>
            <w:r>
              <w:t xml:space="preserve"> Demander une attestation récente (moins de 3 mois).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Légalisation</w:t>
            </w:r>
            <w:r>
              <w:t xml:space="preserve"> des copies RCCM, NIF et ARF</w:t>
            </w:r>
          </w:p>
        </w:tc>
        <w:tc>
          <w:tcPr>
            <w:tcW w:type="dxa" w:w="2436"/>
          </w:tcPr>
          <w:p>
            <w:r/>
            <w:r>
              <w:t>Mairie / autorité habilitée à la légalisation</w:t>
            </w:r>
          </w:p>
        </w:tc>
        <w:tc>
          <w:tcPr>
            <w:tcW w:type="dxa" w:w="2436"/>
          </w:tcPr>
          <w:p>
            <w:r/>
            <w:r>
              <w:t xml:space="preserve">Les TDR exigent des </w:t>
            </w:r>
            <w:r>
              <w:rPr>
                <w:b/>
              </w:rPr>
              <w:t>copies légalisées</w:t>
            </w:r>
            <w:r>
              <w:t xml:space="preserve"> : une simple photocopie fait perdre les points et disqualifie.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🟠 </w:t>
            </w:r>
            <w:r>
              <w:rPr>
                <w:b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Preuves des 3 à 5 expériences similaires</w:t>
            </w:r>
          </w:p>
        </w:tc>
        <w:tc>
          <w:tcPr>
            <w:tcW w:type="dxa" w:w="2436"/>
          </w:tcPr>
          <w:p>
            <w:r/>
            <w:r>
              <w:t>Archives commerciales MERCURE + relance des clients (EUCAP Sahel, MCA-Niger, HKI, Nations Unies)</w:t>
            </w:r>
          </w:p>
        </w:tc>
        <w:tc>
          <w:tcPr>
            <w:tcW w:type="dxa" w:w="2436"/>
          </w:tcPr>
          <w:p>
            <w:r/>
            <w:r>
              <w:t>25 points en jeu. Une expérience sans preuve = 0 point. Relancer les clients pour obtenir les attestations de bonne fin.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🟠 </w:t>
            </w:r>
            <w:r>
              <w:rPr>
                <w:b/>
              </w:rPr>
              <w:t>4 bis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Une référence de mobilier SCOLAIRE</w:t>
            </w:r>
            <w:r>
              <w:t xml:space="preserve"> (tables-bancs)</w:t>
            </w:r>
          </w:p>
        </w:tc>
        <w:tc>
          <w:tcPr>
            <w:tcW w:type="dxa" w:w="2436"/>
          </w:tcPr>
          <w:p>
            <w:r/>
            <w:r>
              <w:t>Archives commerciales MERCURE</w:t>
            </w:r>
          </w:p>
        </w:tc>
        <w:tc>
          <w:tcPr>
            <w:tcW w:type="dxa" w:w="2436"/>
          </w:tcPr>
          <w:p>
            <w:r/>
            <w:r>
              <w:t xml:space="preserve">Les références disponibles portent sur le mobilier </w:t>
            </w:r>
            <w:r>
              <w:rPr>
                <w:b/>
              </w:rPr>
              <w:t>de bureau</w:t>
            </w:r>
            <w:r>
              <w:t xml:space="preserve"> ; toute livraison de mobilier scolaire retrouvée vaut 5 points supplémentaires et renforce la conformité à l'objet du marché.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🟠 </w:t>
            </w:r>
            <w:r>
              <w:rPr>
                <w:b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Attestation bancaire / RIB</w:t>
            </w:r>
          </w:p>
        </w:tc>
        <w:tc>
          <w:tcPr>
            <w:tcW w:type="dxa" w:w="2436"/>
          </w:tcPr>
          <w:p>
            <w:r/>
            <w:r>
              <w:t>Banque de l'entreprise</w:t>
            </w:r>
          </w:p>
        </w:tc>
        <w:tc>
          <w:tcPr>
            <w:tcW w:type="dxa" w:w="2436"/>
          </w:tcPr>
          <w:p>
            <w:r/>
            <w:r>
              <w:t>Nécessaire pour le paiement par virement.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🟡 </w:t>
            </w:r>
            <w:r>
              <w:rPr>
                <w:b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Attestation de dispense ISB</w:t>
            </w:r>
            <w:r>
              <w:t xml:space="preserve"> (si elle existe)</w:t>
            </w:r>
          </w:p>
        </w:tc>
        <w:tc>
          <w:tcPr>
            <w:tcW w:type="dxa" w:w="2436"/>
          </w:tcPr>
          <w:p>
            <w:r/>
            <w:r>
              <w:t>DGI</w:t>
            </w:r>
          </w:p>
        </w:tc>
        <w:tc>
          <w:tcPr>
            <w:tcW w:type="dxa" w:w="2436"/>
          </w:tcPr>
          <w:p>
            <w:r/>
            <w:r>
              <w:t>À défaut, intégrer le prélèvement de 2 % dans le prix.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🟡 </w:t>
            </w:r>
            <w:r>
              <w:rPr>
                <w:b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Copie de la pièce d'identité du DG</w:t>
            </w:r>
          </w:p>
        </w:tc>
        <w:tc>
          <w:tcPr>
            <w:tcW w:type="dxa" w:w="2436"/>
          </w:tcPr>
          <w:p>
            <w:r/>
            <w:r>
              <w:t>Interne</w:t>
            </w:r>
          </w:p>
        </w:tc>
        <w:tc>
          <w:tcPr>
            <w:tcW w:type="dxa" w:w="2436"/>
          </w:tcPr>
          <w:p>
            <w:r/>
            <w:r>
              <w:t>+ procuration si le signataire n'est pas le DG.</w:t>
            </w:r>
          </w:p>
        </w:tc>
      </w:tr>
      <w:tr>
        <w:tc>
          <w:tcPr>
            <w:tcW w:type="dxa" w:w="2436"/>
          </w:tcPr>
          <w:p>
            <w:r/>
            <w:r>
              <w:t xml:space="preserve">🟡 </w:t>
            </w:r>
            <w:r>
              <w:rPr>
                <w:b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Visite du bureau ONEN pour voir l'échantillon de tableau à chevalet</w:t>
            </w:r>
          </w:p>
        </w:tc>
        <w:tc>
          <w:tcPr>
            <w:tcW w:type="dxa" w:w="2436"/>
          </w:tcPr>
          <w:p>
            <w:r/>
            <w:r>
              <w:t>ONG ONEN</w:t>
            </w:r>
          </w:p>
        </w:tc>
        <w:tc>
          <w:tcPr>
            <w:tcW w:type="dxa" w:w="2436"/>
          </w:tcPr>
          <w:p>
            <w:r/>
            <w:r>
              <w:t xml:space="preserve">Les TDR renvoient expressément à un échantillon disponible au bureau : y aller </w:t>
            </w:r>
            <w:r>
              <w:rPr>
                <w:b/>
              </w:rPr>
              <w:t>avant de chiffrer</w:t>
            </w:r>
            <w:r>
              <w:t>.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3. PIÈCES DÉJÀ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Pièce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Référence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Observation</w:t>
            </w:r>
          </w:p>
        </w:tc>
      </w:tr>
      <w:tr>
        <w:tc>
          <w:tcPr>
            <w:tcW w:type="dxa" w:w="3249"/>
          </w:tcPr>
          <w:p>
            <w:r/>
            <w:r>
              <w:t>RCCM</w:t>
            </w:r>
          </w:p>
        </w:tc>
        <w:tc>
          <w:tcPr>
            <w:tcW w:type="dxa" w:w="3249"/>
          </w:tcPr>
          <w:p>
            <w:r/>
            <w:r>
              <w:t xml:space="preserve">Certificat d'inscription modificative </w:t>
            </w:r>
            <w:r>
              <w:rPr>
                <w:b/>
              </w:rPr>
              <w:t>RCCM-NI-NIM-2004-B-717</w:t>
            </w:r>
            <w:r>
              <w:t>, délivré le 06/12/2023 par le Greffier en Chef du Tribunal de Commerce de Niamey (formalités NE-NIA-2011-M-1314)</w:t>
            </w:r>
          </w:p>
        </w:tc>
        <w:tc>
          <w:tcPr>
            <w:tcW w:type="dxa" w:w="3249"/>
          </w:tcPr>
          <w:p>
            <w:r/>
            <w:r>
              <w:t>À faire légaliser</w:t>
            </w:r>
          </w:p>
        </w:tc>
      </w:tr>
      <w:tr>
        <w:tc>
          <w:tcPr>
            <w:tcW w:type="dxa" w:w="3249"/>
          </w:tcPr>
          <w:p>
            <w:r/>
            <w:r>
              <w:t>NIF</w:t>
            </w:r>
          </w:p>
        </w:tc>
        <w:tc>
          <w:tcPr>
            <w:tcW w:type="dxa" w:w="3249"/>
          </w:tcPr>
          <w:p>
            <w:r/>
            <w:r>
              <w:t xml:space="preserve">Certificat d'immatriculation </w:t>
            </w:r>
            <w:r>
              <w:rPr>
                <w:b/>
              </w:rPr>
              <w:t>NIF 1392/R</w:t>
            </w:r>
            <w:r>
              <w:t>, DGI, du 27/05/2002 — service de rattachement CGE III</w:t>
            </w:r>
          </w:p>
        </w:tc>
        <w:tc>
          <w:tcPr>
            <w:tcW w:type="dxa" w:w="3249"/>
          </w:tcPr>
          <w:p>
            <w:r/>
            <w:r>
              <w:t>À faire légaliser</w:t>
            </w:r>
          </w:p>
        </w:tc>
      </w:tr>
      <w:tr>
        <w:tc>
          <w:tcPr>
            <w:tcW w:type="dxa" w:w="3249"/>
          </w:tcPr>
          <w:p>
            <w:r/>
            <w:r>
              <w:t>Attestation de chiffre d'affaires</w:t>
            </w:r>
          </w:p>
        </w:tc>
        <w:tc>
          <w:tcPr>
            <w:tcW w:type="dxa" w:w="3249"/>
          </w:tcPr>
          <w:p>
            <w:r/>
            <w:r>
              <w:t xml:space="preserve">Cabinet </w:t>
            </w:r>
            <w:r>
              <w:rPr>
                <w:b/>
              </w:rPr>
              <w:t>YERO Audit &amp; Conseil</w:t>
            </w:r>
            <w:r>
              <w:t>, du 16/07/2026 — CA 2023 : 423 741 086 ; 2024 : 234 357 981 ; 2025 : 161 293 480 FCFA</w:t>
            </w:r>
          </w:p>
        </w:tc>
        <w:tc>
          <w:tcPr>
            <w:tcW w:type="dxa" w:w="3249"/>
          </w:tcPr>
          <w:p>
            <w:r/>
            <w:r>
              <w:t>À joindre en pièce d'appui</w:t>
            </w:r>
          </w:p>
        </w:tc>
      </w:tr>
      <w:tr>
        <w:tc>
          <w:tcPr>
            <w:tcW w:type="dxa" w:w="3249"/>
          </w:tcPr>
          <w:p>
            <w:r/>
            <w:r>
              <w:t>Liste des marchés similaires</w:t>
            </w:r>
          </w:p>
        </w:tc>
        <w:tc>
          <w:tcPr>
            <w:tcW w:type="dxa" w:w="3249"/>
          </w:tcPr>
          <w:p>
            <w:r/>
            <w:r>
              <w:t xml:space="preserve">14 marchés exécutés à 100 % (EUCAP Sahel, MCA-Niger, Nations Unies, OMS, Save the Children, BOA, Moov…) dont </w:t>
            </w:r>
            <w:r>
              <w:rPr>
                <w:b/>
              </w:rPr>
              <w:t>mobilier de bureau EUCAP Sahel 2019 : 79 908 357 FCFA</w:t>
            </w:r>
            <w:r>
              <w:t xml:space="preserve"> et </w:t>
            </w:r>
            <w:r>
              <w:rPr>
                <w:b/>
              </w:rPr>
              <w:t>meubles et fournitures MCA-Niger 2018 : 15 376 045 FCFA</w:t>
            </w:r>
          </w:p>
        </w:tc>
        <w:tc>
          <w:tcPr>
            <w:tcW w:type="dxa" w:w="3249"/>
          </w:tcPr>
          <w:p>
            <w:r/>
            <w:r>
              <w:t>Repris en pièce n° 12</w:t>
            </w:r>
          </w:p>
        </w:tc>
      </w:tr>
      <w:tr>
        <w:tc>
          <w:tcPr>
            <w:tcW w:type="dxa" w:w="3249"/>
          </w:tcPr>
          <w:p>
            <w:r/>
            <w:r>
              <w:t>Page de garde de référence</w:t>
            </w:r>
          </w:p>
        </w:tc>
        <w:tc>
          <w:tcPr>
            <w:tcW w:type="dxa" w:w="3249"/>
          </w:tcPr>
          <w:p>
            <w:r/>
            <w:r>
              <w:t>Maquette du DAO HKI NE-Sol132 — design et photos conservés, emblème et références remplacés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</w:rPr>
              <w:t>PAGE_DE_GARDE.pdf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4. POINTS DE VIGILANCE (analyse du dossier)</w:t>
      </w:r>
    </w:p>
    <w:p>
      <w:pPr>
        <w:pStyle w:val="ListNumber"/>
      </w:pPr>
      <w:r>
        <w:rPr>
          <w:b/>
        </w:rPr>
        <w:t>Règle éliminatoire absolue.</w:t>
      </w:r>
      <w:r>
        <w:t xml:space="preserve"> L'article XIV-a précise : *« L'absence d'une seule pièce</w:t>
      </w:r>
    </w:p>
    <w:p>
      <w:r>
        <w:t>administrative et fiscale entraînera la disqualification du prestataire »</w:t>
      </w:r>
      <w:r>
        <w:rPr>
          <w:i/>
        </w:rPr>
        <w:t xml:space="preserve">. Les cinq pièces concernées sont : RCCM légalisé, NIF légalisé, ARF légalisée, attestation de non-faillite, lettre d'engagement. </w:t>
      </w:r>
      <w:r>
        <w:rPr>
          <w:i/>
        </w:rPr>
        <w:t>Aucune ne peut manquer.</w:t>
      </w:r>
      <w:r>
        <w:t>*</w:t>
      </w:r>
    </w:p>
    <w:p>
      <w:pPr>
        <w:pStyle w:val="ListNumber"/>
      </w:pPr>
      <w:r>
        <w:rPr>
          <w:b/>
        </w:rPr>
        <w:t>Note technique minimale de 40/70</w:t>
      </w:r>
      <w:r>
        <w:t>, sinon l'offre financière n'est même pas ouverte.</w:t>
      </w:r>
    </w:p>
    <w:p>
      <w:r>
        <w:t xml:space="preserve">Le dossier tel qu'assemblé vise </w:t>
      </w:r>
      <w:r>
        <w:rPr>
          <w:b/>
        </w:rPr>
        <w:t>70/70</w:t>
      </w:r>
      <w:r>
        <w:t>, à condition de fournir 5 expériences prouvées.</w:t>
      </w:r>
    </w:p>
    <w:p>
      <w:pPr>
        <w:pStyle w:val="ListNumber"/>
      </w:pPr>
      <w:r>
        <w:rPr>
          <w:b/>
        </w:rPr>
        <w:t>Deux enveloppes séparées</w:t>
      </w:r>
      <w:r>
        <w:t xml:space="preserve"> : l'offre financière doit être « à part » (art. XIII). Un</w:t>
      </w:r>
    </w:p>
    <w:p>
      <w:r>
        <w:t>prix qui apparaît dans l'offre technique peut faire rejeter l'offre.</w:t>
      </w:r>
    </w:p>
    <w:p>
      <w:pPr>
        <w:pStyle w:val="ListNumber"/>
      </w:pPr>
      <w:r>
        <w:rPr>
          <w:b/>
        </w:rPr>
        <w:t>Contrôle arithmétique du devis</w:t>
      </w:r>
      <w:r>
        <w:t xml:space="preserve"> exigé explicitement par les TDR ; le total général doit</w:t>
      </w:r>
    </w:p>
    <w:p>
      <w:r>
        <w:t>être conforme au montant indiqué dans l'offre.</w:t>
      </w:r>
    </w:p>
    <w:p>
      <w:pPr>
        <w:pStyle w:val="ListNumber"/>
      </w:pPr>
      <w:r>
        <w:rPr>
          <w:b/>
        </w:rPr>
        <w:t>Anomalie de numérotation dans les TDR.</w:t>
      </w:r>
      <w:r>
        <w:t xml:space="preserve"> Le tableau des critères renvoie la présentation</w:t>
      </w:r>
    </w:p>
    <w:p>
      <w:r>
        <w:t>des expériences à « l'Annexe 2 », alors que le canevas des expériences est en réalité l'</w:t>
      </w:r>
      <w:r>
        <w:rPr>
          <w:b/>
        </w:rPr>
        <w:t>Annexe 3</w:t>
      </w:r>
      <w:r>
        <w:t xml:space="preserve"> (l'Annexe 2 étant la lettre d'engagement). Nous fournissons les deux, dans l'ordre du sommaire, ce qui lève toute ambiguïté.</w:t>
      </w:r>
    </w:p>
    <w:p>
      <w:pPr>
        <w:pStyle w:val="ListNumber"/>
      </w:pPr>
      <w:r>
        <w:rPr>
          <w:b/>
        </w:rPr>
        <w:t>Ambiguïté sur l'heure de dépôt.</w:t>
      </w:r>
      <w:r>
        <w:t xml:space="preserve"> Les TDR indiquent un dépôt « de 9 h à 16 h » et « au</w:t>
      </w:r>
    </w:p>
    <w:p>
      <w:r>
        <w:t xml:space="preserve">plus tard le vendredi 04 septembre 2026 à partir de 10 heures ». Pour éliminer tout risque, </w:t>
      </w:r>
      <w:r>
        <w:rPr>
          <w:b/>
        </w:rPr>
        <w:t>déposer le jeudi 03 septembre ou le vendredi matin dès l'ouverture</w:t>
      </w:r>
      <w:r>
        <w:t>, et confirmer l'heure limite par téléphone au 96 32 53 09.</w:t>
      </w:r>
    </w:p>
    <w:p>
      <w:pPr>
        <w:pStyle w:val="ListNumber"/>
      </w:pPr>
      <w:r>
        <w:rPr>
          <w:b/>
        </w:rPr>
        <w:t>Transport à double détente.</w:t>
      </w:r>
      <w:r>
        <w:t xml:space="preserve"> L'acheminement des chefs-lieux vers les 20 villages est à</w:t>
      </w:r>
    </w:p>
    <w:p>
      <w:r>
        <w:t>la charge du fournisseur (art. VII) : ce coût doit impérativement figurer dans la ligne 7 du devis.</w:t>
      </w:r>
    </w:p>
    <w:p>
      <w:pPr>
        <w:pStyle w:val="ListNumber"/>
      </w:pPr>
      <w:r>
        <w:rPr>
          <w:b/>
        </w:rPr>
        <w:t>Pénalités de retard sévères</w:t>
      </w:r>
      <w:r>
        <w:t xml:space="preserve"> : 2 % du montant HT par jour calendaire, résiliation</w:t>
      </w:r>
    </w:p>
    <w:p>
      <w:r>
        <w:t>possible à 5 %. Le délai de 20 jours annoncé doit être tenable — lancer l'approvisionnement dès la notification.</w:t>
      </w:r>
    </w:p>
    <w:p>
      <w:pPr>
        <w:pStyle w:val="ListNumber"/>
      </w:pPr>
      <w:r>
        <w:rPr>
          <w:b/>
        </w:rPr>
        <w:t>Prix noté au mieux disant sur 30 points.</w:t>
      </w:r>
      <w:r>
        <w:t xml:space="preserve"> L'écart de prix se traduit directement en</w:t>
      </w:r>
    </w:p>
    <w:p>
      <w:r>
        <w:t>points perdus : arbitrer la marge en conséquence.</w:t>
      </w:r>
    </w:p>
    <w:p>
      <w:pPr>
        <w:pStyle w:val="ListNumber"/>
      </w:pPr>
      <w:r>
        <w:rPr>
          <w:b/>
        </w:rPr>
        <w:t>Coordonnées à confirmer.</w:t>
      </w:r>
      <w:r>
        <w:t xml:space="preserve"> Les documents utilisent désormais l'e-mail</w:t>
      </w:r>
    </w:p>
    <w:p>
      <w:r>
        <w:rPr>
          <w:b/>
        </w:rPr>
        <w:t>mercure.niger@gmail.com</w:t>
      </w:r>
      <w:r>
        <w:t xml:space="preserve"> et le site </w:t>
      </w:r>
      <w:r>
        <w:rPr>
          <w:b/>
        </w:rPr>
        <w:t>www.mercure-sarl.org</w:t>
      </w:r>
      <w:r>
        <w:t xml:space="preserve">. L'en-tête scanné du dossier HKI porte encore </w:t>
      </w:r>
      <w:r>
        <w:rPr>
          <w:i/>
        </w:rPr>
        <w:t>www.mercure-sarl.com</w:t>
      </w:r>
      <w:r>
        <w:t xml:space="preserve"> : confirmer l'adresse exacte du site avant impression, afin que l'en-tête et le corps des documents soient cohérents.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5. CALENDRIER DE PRÉPARATION PROPOSÉ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Échéance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Immédiat</w:t>
            </w:r>
          </w:p>
        </w:tc>
        <w:tc>
          <w:tcPr>
            <w:tcW w:type="dxa" w:w="4873"/>
          </w:tcPr>
          <w:p>
            <w:r/>
            <w:r>
              <w:t>Lancer les demandes d'ARF, d'attestation de non-faillite et d'attestation bancaire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Immédiat</w:t>
            </w:r>
          </w:p>
        </w:tc>
        <w:tc>
          <w:tcPr>
            <w:tcW w:type="dxa" w:w="4873"/>
          </w:tcPr>
          <w:p>
            <w:r/>
            <w:r>
              <w:t>Réunir les 5 dossiers d'expériences et relancer les clients pour les attestations de bonne fin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Semaine 1</w:t>
            </w:r>
          </w:p>
        </w:tc>
        <w:tc>
          <w:tcPr>
            <w:tcW w:type="dxa" w:w="4873"/>
          </w:tcPr>
          <w:p>
            <w:r/>
            <w:r>
              <w:t>Visite du bureau ONEN (échantillon de tableau à chevalet) + consultation des fournisseurs de matières premières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Semaine 2</w:t>
            </w:r>
          </w:p>
        </w:tc>
        <w:tc>
          <w:tcPr>
            <w:tcW w:type="dxa" w:w="4873"/>
          </w:tcPr>
          <w:p>
            <w:r/>
            <w:r>
              <w:t>Arrêter les prix unitaires et finaliser le devis ; faire légaliser RCCM, NIF et ARF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Semaine 3</w:t>
            </w:r>
          </w:p>
        </w:tc>
        <w:tc>
          <w:tcPr>
            <w:tcW w:type="dxa" w:w="4873"/>
          </w:tcPr>
          <w:p>
            <w:r/>
            <w:r>
              <w:t>Impression sur papier à en-tête, signature, cachet et paraphe de toutes les pages ; contrôle du sommaire pièce par pièce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03/09/2026</w:t>
            </w:r>
          </w:p>
        </w:tc>
        <w:tc>
          <w:tcPr>
            <w:tcW w:type="dxa" w:w="4873"/>
          </w:tcPr>
          <w:p>
            <w:r/>
            <w:r>
              <w:t xml:space="preserve">Mise sous pli et </w:t>
            </w:r>
            <w:r>
              <w:rPr>
                <w:b/>
              </w:rPr>
              <w:t>dépôt à Dosso</w:t>
            </w:r>
            <w:r>
              <w:t xml:space="preserve"> avec accusé de réception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04/09/2026 – 16 h 15</w:t>
            </w:r>
          </w:p>
        </w:tc>
        <w:tc>
          <w:tcPr>
            <w:tcW w:type="dxa" w:w="4873"/>
          </w:tcPr>
          <w:p>
            <w:r/>
            <w:r>
              <w:t>Présence d'un représentant au dépouillement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