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Sentiment Analysis Report</w:t>
      </w:r>
    </w:p>
    <w:p>
      <w:r>
        <w:rPr>
          <w:b/>
        </w:rPr>
        <w:t xml:space="preserve">Verdict: </w:t>
      </w:r>
      <w:r>
        <w:t>Worth Exploring</w:t>
      </w:r>
    </w:p>
    <w:p>
      <w:r>
        <w:rPr>
          <w:b/>
        </w:rPr>
        <w:t xml:space="preserve">Opportunity Score: </w:t>
      </w:r>
      <w:r>
        <w:t>7.9 / 10  |  Confidence: 0.68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Executive Summary</w:t>
      </w:r>
    </w:p>
    <w:p>
      <w:pPr>
        <w:pStyle w:val="Heading2"/>
      </w:pPr>
      <w:r>
        <w:t>Reasons to Pursue</w:t>
      </w:r>
    </w:p>
    <w:p>
      <w:pPr>
        <w:pStyle w:val="ListBullet"/>
      </w:pPr>
      <w:r>
        <w:t>Strong demand from underserved SMB RIA segment</w:t>
      </w:r>
    </w:p>
    <w:p>
      <w:pPr>
        <w:pStyle w:val="ListBullet"/>
      </w:pPr>
      <w:r>
        <w:t>Clear value proposition vs enterprise-only alternatives</w:t>
      </w:r>
    </w:p>
    <w:p>
      <w:pPr>
        <w:pStyle w:val="ListBullet"/>
      </w:pPr>
      <w:r>
        <w:t>Favorable timing with fee compression driving tool adoption</w:t>
      </w:r>
    </w:p>
    <w:p>
      <w:pPr>
        <w:pStyle w:val="Heading2"/>
      </w:pPr>
      <w:r>
        <w:t>Reasons to Pass</w:t>
      </w:r>
    </w:p>
    <w:p>
      <w:pPr>
        <w:pStyle w:val="ListBullet"/>
      </w:pPr>
      <w:r>
        <w:t>Established players could add SMB tier quickly</w:t>
      </w:r>
    </w:p>
    <w:p>
      <w:pPr>
        <w:pStyle w:val="ListBullet"/>
      </w:pPr>
      <w:r>
        <w:t>High onboarding complexity may limit viral growth</w:t>
      </w:r>
    </w:p>
    <w:p>
      <w:pPr>
        <w:pStyle w:val="Heading1"/>
      </w:pPr>
      <w:r>
        <w:t>Demand Validation</w:t>
      </w:r>
    </w:p>
    <w:p>
      <w:r>
        <w:t>Evidence from demand analysis shows strong signals from the SMB RIA market.</w:t>
      </w:r>
    </w:p>
    <w:p>
      <w:r>
        <w:t>Multiple independent sources confirm consistent growth in Monte Carlo tool adoption.</w:t>
      </w:r>
    </w:p>
    <w:p>
      <w:pPr>
        <w:pStyle w:val="Heading1"/>
      </w:pPr>
      <w:r>
        <w:t>Competitive Landscape</w:t>
      </w:r>
    </w:p>
    <w:p>
      <w:r>
        <w:t>Established enterprise players have not yet targeted the SMB RIA segment.</w:t>
      </w:r>
    </w:p>
    <w:p>
      <w:r>
        <w:t>This creates a clear differentiation opportunity for a focused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