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B47D" w14:textId="77777777" w:rsidR="00892DBD" w:rsidRDefault="00892DBD">
      <w:pPr>
        <w:spacing w:before="1440" w:after="240"/>
        <w:jc w:val="center"/>
        <w:rPr>
          <w:rFonts w:ascii="Garamond" w:hAnsi="Garamond"/>
          <w:b/>
          <w:bCs/>
          <w:color w:val="1F3864"/>
          <w:sz w:val="48"/>
          <w:szCs w:val="48"/>
        </w:rPr>
      </w:pPr>
    </w:p>
    <w:p w14:paraId="496C3E37" w14:textId="77777777" w:rsidR="00892DBD" w:rsidRDefault="00892DBD">
      <w:pPr>
        <w:spacing w:before="1440" w:after="240"/>
        <w:jc w:val="center"/>
        <w:rPr>
          <w:rFonts w:ascii="Garamond" w:hAnsi="Garamond"/>
          <w:b/>
          <w:bCs/>
          <w:color w:val="1F3864"/>
          <w:sz w:val="48"/>
          <w:szCs w:val="48"/>
        </w:rPr>
      </w:pPr>
    </w:p>
    <w:p w14:paraId="65498E1B" w14:textId="5DB6D091" w:rsidR="00BD3694" w:rsidRPr="00892DBD" w:rsidRDefault="00000000">
      <w:pPr>
        <w:spacing w:before="1440" w:after="240"/>
        <w:jc w:val="center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  <w:sz w:val="48"/>
          <w:szCs w:val="48"/>
        </w:rPr>
        <w:t>Volatility Forecasting Research</w:t>
      </w:r>
    </w:p>
    <w:p w14:paraId="51DD8FA7" w14:textId="77777777" w:rsidR="00BD3694" w:rsidRPr="00892DBD" w:rsidRDefault="00000000">
      <w:pPr>
        <w:spacing w:after="120"/>
        <w:jc w:val="center"/>
        <w:rPr>
          <w:rFonts w:ascii="Garamond" w:hAnsi="Garamond"/>
        </w:rPr>
      </w:pPr>
      <w:r w:rsidRPr="00892DBD">
        <w:rPr>
          <w:rFonts w:ascii="Garamond" w:hAnsi="Garamond"/>
          <w:color w:val="2E5F8A"/>
          <w:sz w:val="28"/>
          <w:szCs w:val="28"/>
        </w:rPr>
        <w:t>Progress Report — Week 2 of 10</w:t>
      </w:r>
    </w:p>
    <w:p w14:paraId="3BDCDE72" w14:textId="77777777" w:rsidR="00BD3694" w:rsidRPr="00892DBD" w:rsidRDefault="00000000">
      <w:pPr>
        <w:spacing w:after="120"/>
        <w:jc w:val="center"/>
        <w:rPr>
          <w:rFonts w:ascii="Garamond" w:hAnsi="Garamond"/>
        </w:rPr>
      </w:pPr>
      <w:r w:rsidRPr="00892DBD">
        <w:rPr>
          <w:rFonts w:ascii="Garamond" w:hAnsi="Garamond"/>
          <w:color w:val="444444"/>
          <w:sz w:val="24"/>
          <w:szCs w:val="24"/>
        </w:rPr>
        <w:t>June 1, 2026</w:t>
      </w:r>
    </w:p>
    <w:p w14:paraId="234EA105" w14:textId="6423D08D" w:rsidR="00BD3694" w:rsidRPr="00892DBD" w:rsidRDefault="00000000">
      <w:pPr>
        <w:spacing w:after="60"/>
        <w:jc w:val="center"/>
        <w:rPr>
          <w:rFonts w:ascii="Garamond" w:hAnsi="Garamond"/>
        </w:rPr>
      </w:pPr>
      <w:r w:rsidRPr="00892DBD">
        <w:rPr>
          <w:rFonts w:ascii="Garamond" w:hAnsi="Garamond"/>
          <w:color w:val="444444"/>
        </w:rPr>
        <w:t>Anthony Le | Denison University Economics</w:t>
      </w:r>
    </w:p>
    <w:p w14:paraId="1A83FBFC" w14:textId="77777777" w:rsidR="00BD3694" w:rsidRPr="00892DBD" w:rsidRDefault="00000000">
      <w:pPr>
        <w:spacing w:after="60"/>
        <w:jc w:val="center"/>
        <w:rPr>
          <w:rFonts w:ascii="Garamond" w:hAnsi="Garamond"/>
        </w:rPr>
      </w:pPr>
      <w:r w:rsidRPr="00892DBD">
        <w:rPr>
          <w:rFonts w:ascii="Garamond" w:hAnsi="Garamond"/>
          <w:color w:val="444444"/>
        </w:rPr>
        <w:t>Supervisors: Prof. Emily Marshall &amp; Prof. Tyler Wake</w:t>
      </w:r>
    </w:p>
    <w:p w14:paraId="5466AABE" w14:textId="77777777" w:rsidR="00BD3694" w:rsidRPr="00892DBD" w:rsidRDefault="00BD3694">
      <w:pPr>
        <w:pBdr>
          <w:bottom w:val="single" w:sz="6" w:space="1" w:color="1F3864"/>
        </w:pBdr>
        <w:spacing w:before="240" w:after="240"/>
        <w:rPr>
          <w:rFonts w:ascii="Garamond" w:hAnsi="Garamond"/>
        </w:rPr>
      </w:pPr>
    </w:p>
    <w:p w14:paraId="01B11DB5" w14:textId="77777777" w:rsidR="00BD3694" w:rsidRPr="00892DBD" w:rsidRDefault="00000000">
      <w:pPr>
        <w:rPr>
          <w:rFonts w:ascii="Garamond" w:hAnsi="Garamond"/>
        </w:rPr>
      </w:pPr>
      <w:r w:rsidRPr="00892DBD">
        <w:rPr>
          <w:rFonts w:ascii="Garamond" w:hAnsi="Garamond"/>
        </w:rPr>
        <w:br w:type="page"/>
      </w:r>
    </w:p>
    <w:p w14:paraId="02CD64B3" w14:textId="77777777" w:rsidR="00BD3694" w:rsidRPr="00892DBD" w:rsidRDefault="00000000">
      <w:pPr>
        <w:pStyle w:val="Heading1"/>
        <w:spacing w:before="320" w:after="16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</w:rPr>
        <w:lastRenderedPageBreak/>
        <w:t>1. Executive Summary</w:t>
      </w:r>
    </w:p>
    <w:p w14:paraId="1C9CE67F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This report summarizes progress on the summer 2026 research project comparing machine learning (ML) and traditional econometric models for equity volatility forecasting, with economic evaluation via portfolio </w:t>
      </w:r>
      <w:proofErr w:type="spellStart"/>
      <w:r w:rsidRPr="00892DBD">
        <w:rPr>
          <w:rFonts w:ascii="Garamond" w:hAnsi="Garamond"/>
        </w:rPr>
        <w:t>backtesting</w:t>
      </w:r>
      <w:proofErr w:type="spellEnd"/>
      <w:r w:rsidRPr="00892DBD">
        <w:rPr>
          <w:rFonts w:ascii="Garamond" w:hAnsi="Garamond"/>
        </w:rPr>
        <w:t>. The project spans 10 weeks (May–August 2026) and is supervised by Prof. Emily Marshall and Prof. Tyler Wake at Denison University.</w:t>
      </w:r>
    </w:p>
    <w:p w14:paraId="4A435AD7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1500D1F6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  <w:b/>
          <w:bCs/>
        </w:rPr>
        <w:t>As of June 1, 2026 (end of Week 2), the following milestones have been completed ahead of schedule:</w:t>
      </w:r>
    </w:p>
    <w:p w14:paraId="5B837467" w14:textId="77777777" w:rsidR="00BD3694" w:rsidRPr="00892DBD" w:rsidRDefault="00BD3694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160"/>
        <w:gridCol w:w="3200"/>
      </w:tblGrid>
      <w:tr w:rsidR="00BD3694" w:rsidRPr="00892DBD" w14:paraId="6225F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696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B53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Target Week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F746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D3694" w:rsidRPr="00892DBD" w14:paraId="584A0E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D27C3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Literature review &amp; research design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B3EE0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80BD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360C6D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4633F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Environment setup &amp; API integration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038A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A7DE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2513C0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EBB3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Data collection (18 assets, 2010–2025)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601E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3C68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134CD3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53BF9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Exploratory Data Analysis (EDA, Figs. 1–4)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A6CD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F36F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6B16EB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64A25" w14:textId="77777777" w:rsidR="00BD3694" w:rsidRPr="00892DBD" w:rsidRDefault="00000000">
            <w:pPr>
              <w:rPr>
                <w:rFonts w:ascii="Garamond" w:hAnsi="Garamond"/>
              </w:rPr>
            </w:pP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 walk-forward baseline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7245D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AE318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4675B6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FE184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EGARCH &amp; GJR-GARCH extensions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B6E8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C084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68F0DA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F7826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HAR-RV econometric 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10AE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CAD4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69BB30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B72FB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Feature engineering (31 predictors)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70B8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14B86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3C5779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3F3AF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Random Forest walk-forward forecasts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870D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CDF8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304881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97C4D" w14:textId="77777777" w:rsidR="00BD3694" w:rsidRPr="00892DBD" w:rsidRDefault="00000000">
            <w:pPr>
              <w:rPr>
                <w:rFonts w:ascii="Garamond" w:hAnsi="Garamond"/>
              </w:rPr>
            </w:pPr>
            <w:proofErr w:type="spellStart"/>
            <w:r w:rsidRPr="00892DBD">
              <w:rPr>
                <w:rFonts w:ascii="Garamond" w:hAnsi="Garamond"/>
                <w:sz w:val="20"/>
                <w:szCs w:val="20"/>
              </w:rPr>
              <w:t>XGBoost</w:t>
            </w:r>
            <w:proofErr w:type="spellEnd"/>
            <w:r w:rsidRPr="00892DBD">
              <w:rPr>
                <w:rFonts w:ascii="Garamond" w:hAnsi="Garamond"/>
                <w:sz w:val="20"/>
                <w:szCs w:val="20"/>
              </w:rPr>
              <w:t xml:space="preserve"> walk-forward forecasts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25090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9A62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0C8E39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7BE67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Feature importance analysis (Fig. 6–7)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0731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B6AD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892DBD">
              <w:rPr>
                <w:rFonts w:ascii="Garamond" w:hAnsi="Garamond"/>
                <w:sz w:val="20"/>
                <w:szCs w:val="20"/>
              </w:rPr>
              <w:t xml:space="preserve"> Complete</w:t>
            </w:r>
          </w:p>
        </w:tc>
      </w:tr>
      <w:tr w:rsidR="00BD3694" w:rsidRPr="00892DBD" w14:paraId="21D57F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E18E3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LSTM &amp; hybrid models (GARCH-RF, GARCH-XGB)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D93D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D244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In Progress</w:t>
            </w:r>
          </w:p>
        </w:tc>
      </w:tr>
      <w:tr w:rsidR="00BD3694" w:rsidRPr="00892DBD" w14:paraId="325F50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1C46F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Statistical evaluation &amp; regime analysis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9A33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6C34D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Pending</w:t>
            </w:r>
          </w:p>
        </w:tc>
      </w:tr>
      <w:tr w:rsidR="00BD3694" w:rsidRPr="00892DBD" w14:paraId="6F7458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D2937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 xml:space="preserve">Portfolio </w:t>
            </w:r>
            <w:proofErr w:type="spellStart"/>
            <w:r w:rsidRPr="00892DBD">
              <w:rPr>
                <w:rFonts w:ascii="Garamond" w:hAnsi="Garamond"/>
                <w:sz w:val="20"/>
                <w:szCs w:val="20"/>
              </w:rPr>
              <w:t>backtesting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2E60B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Week 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FFD4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Pending</w:t>
            </w:r>
          </w:p>
        </w:tc>
      </w:tr>
    </w:tbl>
    <w:p w14:paraId="5D86FE0F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Table 1. Project milestone tracker as of June 1, 2026.</w:t>
      </w:r>
    </w:p>
    <w:p w14:paraId="1ECD73F9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4AE6C7DC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The project is approximately 3 weeks ahead of the original schedule. Six of eight planned models have been fully implemented and evaluated, yielding preliminary results that show Random Forest substantially outperforming all econometric benchmarks on 1-day-ahead realized volatility forecasts.</w:t>
      </w:r>
    </w:p>
    <w:p w14:paraId="128E29CD" w14:textId="77777777" w:rsidR="00BD3694" w:rsidRPr="00892DBD" w:rsidRDefault="00000000">
      <w:pPr>
        <w:rPr>
          <w:rFonts w:ascii="Garamond" w:hAnsi="Garamond"/>
        </w:rPr>
      </w:pPr>
      <w:r w:rsidRPr="00892DBD">
        <w:rPr>
          <w:rFonts w:ascii="Garamond" w:hAnsi="Garamond"/>
        </w:rPr>
        <w:br w:type="page"/>
      </w:r>
    </w:p>
    <w:p w14:paraId="72E66002" w14:textId="77777777" w:rsidR="00BD3694" w:rsidRPr="00892DBD" w:rsidRDefault="00000000">
      <w:pPr>
        <w:pStyle w:val="Heading1"/>
        <w:spacing w:before="320" w:after="16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</w:rPr>
        <w:lastRenderedPageBreak/>
        <w:t>2. Data Collection &amp; Exploratory Analysis</w:t>
      </w:r>
    </w:p>
    <w:p w14:paraId="0AFE11F5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2.1 Data Specification</w:t>
      </w:r>
    </w:p>
    <w:p w14:paraId="372180F9" w14:textId="45A22399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Daily OHLCV price data for 18 equity assets were downloaded via </w:t>
      </w:r>
      <w:proofErr w:type="spellStart"/>
      <w:r w:rsidRPr="00892DBD">
        <w:rPr>
          <w:rFonts w:ascii="Garamond" w:hAnsi="Garamond"/>
        </w:rPr>
        <w:t>yfinance</w:t>
      </w:r>
      <w:proofErr w:type="spellEnd"/>
      <w:r w:rsidRPr="00892DBD">
        <w:rPr>
          <w:rFonts w:ascii="Garamond" w:hAnsi="Garamond"/>
        </w:rPr>
        <w:t>, covering January 2010 through December 2025 (~4,000 observations per asset, ~72,000 total rows). The universe comprises:</w:t>
      </w:r>
    </w:p>
    <w:p w14:paraId="1B5DAD25" w14:textId="77777777" w:rsidR="00BD3694" w:rsidRPr="00892DBD" w:rsidRDefault="00000000" w:rsidP="00892DBD">
      <w:pPr>
        <w:pStyle w:val="ListParagraph"/>
        <w:numPr>
          <w:ilvl w:val="0"/>
          <w:numId w:val="3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Equity indices (3): SPY (S&amp;P 500), QQQ (Nasdaq-100), IWM (Russell 2000)</w:t>
      </w:r>
    </w:p>
    <w:p w14:paraId="73C8325D" w14:textId="77777777" w:rsidR="00BD3694" w:rsidRPr="00892DBD" w:rsidRDefault="00000000" w:rsidP="00892DBD">
      <w:pPr>
        <w:pStyle w:val="ListParagraph"/>
        <w:numPr>
          <w:ilvl w:val="0"/>
          <w:numId w:val="3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Technology (3): AAPL, MSFT, NVDA</w:t>
      </w:r>
    </w:p>
    <w:p w14:paraId="62411664" w14:textId="77777777" w:rsidR="00BD3694" w:rsidRPr="00892DBD" w:rsidRDefault="00000000" w:rsidP="00892DBD">
      <w:pPr>
        <w:pStyle w:val="ListParagraph"/>
        <w:numPr>
          <w:ilvl w:val="0"/>
          <w:numId w:val="3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Financials (3): JPM, GS, BAC</w:t>
      </w:r>
    </w:p>
    <w:p w14:paraId="7604D6DD" w14:textId="77777777" w:rsidR="00BD3694" w:rsidRPr="00892DBD" w:rsidRDefault="00000000" w:rsidP="00892DBD">
      <w:pPr>
        <w:pStyle w:val="ListParagraph"/>
        <w:numPr>
          <w:ilvl w:val="0"/>
          <w:numId w:val="3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Healthcare (3): JNJ, UNH, PFE</w:t>
      </w:r>
    </w:p>
    <w:p w14:paraId="32B3C2A3" w14:textId="77777777" w:rsidR="00BD3694" w:rsidRPr="00892DBD" w:rsidRDefault="00000000" w:rsidP="00892DBD">
      <w:pPr>
        <w:pStyle w:val="ListParagraph"/>
        <w:numPr>
          <w:ilvl w:val="0"/>
          <w:numId w:val="3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Consumer (3): AMZN, WMT, HD</w:t>
      </w:r>
    </w:p>
    <w:p w14:paraId="353EC5B3" w14:textId="77777777" w:rsidR="00BD3694" w:rsidRPr="00892DBD" w:rsidRDefault="00000000" w:rsidP="00892DBD">
      <w:pPr>
        <w:pStyle w:val="ListParagraph"/>
        <w:numPr>
          <w:ilvl w:val="0"/>
          <w:numId w:val="3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Energy &amp; Industrials (3): XOM, CVX, CAT</w:t>
      </w:r>
    </w:p>
    <w:p w14:paraId="44333FBD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7D211C15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The target variable is 21-day rolling realized volatility (RV), computed as the annualized standard deviation of daily log-returns (×√252×100), yielding volatility in percentage terms. Market regimes are tagged as: Low (&lt;15%), Medium (15–25%), and High (&gt;25%).</w:t>
      </w:r>
    </w:p>
    <w:p w14:paraId="7A3F5D71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6BF0B601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The walk-forward validation framework uses an expanding training window (Jan 2010–Dec 2017) with monthly refits across the out-of-sample test period (Jan 2018–Dec 2025), generating 96 monthly forecast vintages.</w:t>
      </w:r>
    </w:p>
    <w:p w14:paraId="0C832B3E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1F1EAC23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2.2 EDA Figures</w:t>
      </w:r>
    </w:p>
    <w:p w14:paraId="76BE808C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05565FCB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Figure 1 shows price and return time series for the 18 assets, illustrating the cross-sectional breadth of the sample and key stress episodes (2018 Q4, COVID-19 March 2020, </w:t>
      </w:r>
      <w:proofErr w:type="gramStart"/>
      <w:r w:rsidRPr="00892DBD">
        <w:rPr>
          <w:rFonts w:ascii="Garamond" w:hAnsi="Garamond"/>
        </w:rPr>
        <w:t>2022</w:t>
      </w:r>
      <w:proofErr w:type="gramEnd"/>
      <w:r w:rsidRPr="00892DBD">
        <w:rPr>
          <w:rFonts w:ascii="Garamond" w:hAnsi="Garamond"/>
        </w:rPr>
        <w:t xml:space="preserve"> rate shock).</w:t>
      </w:r>
    </w:p>
    <w:p w14:paraId="5DA595A2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drawing>
          <wp:inline distT="0" distB="0" distL="0" distR="0" wp14:anchorId="5AE7EFB5" wp14:editId="382282A3">
            <wp:extent cx="5524500" cy="3357453"/>
            <wp:effectExtent l="0" t="0" r="0" b="0"/>
            <wp:docPr id="1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316" cy="335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4C1B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Figure 1. Normalized price levels and daily returns for all 18 assets, 2010–2025.</w:t>
      </w:r>
    </w:p>
    <w:p w14:paraId="6CF682FE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480C4CA6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lastRenderedPageBreak/>
        <w:t xml:space="preserve">Figure 2 displays 21-day realized volatility time series with regime color-coding. Volatility clustering is </w:t>
      </w:r>
      <w:proofErr w:type="gramStart"/>
      <w:r w:rsidRPr="00892DBD">
        <w:rPr>
          <w:rFonts w:ascii="Garamond" w:hAnsi="Garamond"/>
        </w:rPr>
        <w:t>clearly evident</w:t>
      </w:r>
      <w:proofErr w:type="gramEnd"/>
      <w:r w:rsidRPr="00892DBD">
        <w:rPr>
          <w:rFonts w:ascii="Garamond" w:hAnsi="Garamond"/>
        </w:rPr>
        <w:t>, with the COVID-19 shock producing the highest realized volatility in the sample (&gt;80% annualized for individual stocks).</w:t>
      </w:r>
    </w:p>
    <w:p w14:paraId="1AE5583F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drawing>
          <wp:inline distT="0" distB="0" distL="0" distR="0" wp14:anchorId="55AB03B0" wp14:editId="7983975F">
            <wp:extent cx="6462986" cy="3336513"/>
            <wp:effectExtent l="0" t="0" r="1905" b="3810"/>
            <wp:docPr id="1931177684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086" cy="33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15DD" w14:textId="1EFA766B" w:rsidR="00BD3694" w:rsidRPr="00892DBD" w:rsidRDefault="00000000" w:rsidP="00892DBD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Figure 2. 21-day realized volatility with low/medium/high regime shading. COVID-19 (March 2020) and the 2022 rate cycle are the dominant high-volatility episodes.</w:t>
      </w:r>
    </w:p>
    <w:p w14:paraId="20CC9814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Figure 3 confirms key stylized facts of equity volatility: fat tails (excess kurtosis), negative skewness, strong autocorrelation in absolute returns, and the leverage effect (negative return–volatility correlation).</w:t>
      </w:r>
    </w:p>
    <w:p w14:paraId="63F2F41B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drawing>
          <wp:inline distT="0" distB="0" distL="0" distR="0" wp14:anchorId="1064A58A" wp14:editId="2EA9902C">
            <wp:extent cx="5276995" cy="3339064"/>
            <wp:effectExtent l="0" t="0" r="0" b="1270"/>
            <wp:docPr id="880831693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37" cy="33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9C87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Figure 3. Stylized facts: return distribution (Q-Q plot), ACF of squared returns, and return–volatility scatter.</w:t>
      </w:r>
    </w:p>
    <w:p w14:paraId="5900D663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102D6AA9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lastRenderedPageBreak/>
        <w:t>Figure 4 presents cross-sectional patterns, including average realized volatility by sector, return correlation heatmap, and volatility co-movement across the 18 assets.</w:t>
      </w:r>
    </w:p>
    <w:p w14:paraId="39618EF1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drawing>
          <wp:inline distT="0" distB="0" distL="0" distR="0" wp14:anchorId="34F0C048" wp14:editId="130D57A3">
            <wp:extent cx="5524500" cy="3495675"/>
            <wp:effectExtent l="0" t="0" r="0" b="0"/>
            <wp:docPr id="881553299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A35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Figure 4. Cross-sectional analysis: sector volatility levels, correlation structure, and co-movement.</w:t>
      </w:r>
    </w:p>
    <w:p w14:paraId="76F58060" w14:textId="77777777" w:rsidR="00BD3694" w:rsidRPr="00892DBD" w:rsidRDefault="00000000">
      <w:pPr>
        <w:pStyle w:val="Heading1"/>
        <w:spacing w:before="320" w:after="16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</w:rPr>
        <w:t>3. Econometric Baseline Models</w:t>
      </w:r>
    </w:p>
    <w:p w14:paraId="434AEAA5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3.1 Models Implemented</w:t>
      </w:r>
    </w:p>
    <w:p w14:paraId="2C189AE1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Four econometric models were implemented using the arch library with the walk-forward framework. Each model is refit monthly on all available data through the refit date, and generates 1-day, 5-day, and 20-day-ahead forecasts.</w:t>
      </w:r>
    </w:p>
    <w:p w14:paraId="46FA6289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0EA2EF79" w14:textId="77777777" w:rsidR="00BD3694" w:rsidRPr="00892DBD" w:rsidRDefault="00000000" w:rsidP="00892DBD">
      <w:pPr>
        <w:pStyle w:val="ListParagraph"/>
        <w:numPr>
          <w:ilvl w:val="0"/>
          <w:numId w:val="4"/>
        </w:numPr>
        <w:spacing w:before="80" w:after="80"/>
        <w:rPr>
          <w:rFonts w:ascii="Garamond" w:hAnsi="Garamond"/>
        </w:rPr>
      </w:pP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>1,1): Standard symmetric GARCH with one lag each of the squared residual (ARCH term) and conditional variance (GARCH term). Serves as the primary benchmark.</w:t>
      </w:r>
    </w:p>
    <w:p w14:paraId="1BC9B64C" w14:textId="77777777" w:rsidR="00BD3694" w:rsidRPr="00892DBD" w:rsidRDefault="00000000" w:rsidP="00892DBD">
      <w:pPr>
        <w:pStyle w:val="ListParagraph"/>
        <w:numPr>
          <w:ilvl w:val="0"/>
          <w:numId w:val="4"/>
        </w:numPr>
        <w:spacing w:before="80" w:after="80"/>
        <w:rPr>
          <w:rFonts w:ascii="Garamond" w:hAnsi="Garamond"/>
        </w:rPr>
      </w:pPr>
      <w:proofErr w:type="gramStart"/>
      <w:r w:rsidRPr="00892DBD">
        <w:rPr>
          <w:rFonts w:ascii="Garamond" w:hAnsi="Garamond"/>
        </w:rPr>
        <w:t>EGARCH(</w:t>
      </w:r>
      <w:proofErr w:type="gramEnd"/>
      <w:r w:rsidRPr="00892DBD">
        <w:rPr>
          <w:rFonts w:ascii="Garamond" w:hAnsi="Garamond"/>
        </w:rPr>
        <w:t>1,1): Exponential GARCH (Nelson 1991) capturing the leverage effect — negative shocks increase volatility more than positive shocks of equal magnitude.</w:t>
      </w:r>
    </w:p>
    <w:p w14:paraId="24634413" w14:textId="77777777" w:rsidR="00BD3694" w:rsidRPr="00892DBD" w:rsidRDefault="00000000" w:rsidP="00892DBD">
      <w:pPr>
        <w:pStyle w:val="ListParagraph"/>
        <w:numPr>
          <w:ilvl w:val="0"/>
          <w:numId w:val="4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GJR-</w:t>
      </w: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 xml:space="preserve">1,1): </w:t>
      </w:r>
      <w:proofErr w:type="spellStart"/>
      <w:r w:rsidRPr="00892DBD">
        <w:rPr>
          <w:rFonts w:ascii="Garamond" w:hAnsi="Garamond"/>
        </w:rPr>
        <w:t>Glosten</w:t>
      </w:r>
      <w:proofErr w:type="spellEnd"/>
      <w:r w:rsidRPr="00892DBD">
        <w:rPr>
          <w:rFonts w:ascii="Garamond" w:hAnsi="Garamond"/>
        </w:rPr>
        <w:t>-Jagannathan-Runkle threshold model, an alternative asymmetric specification allowing different ARCH coefficients for positive and negative returns.</w:t>
      </w:r>
    </w:p>
    <w:p w14:paraId="0F3744CD" w14:textId="77777777" w:rsidR="00BD3694" w:rsidRPr="00892DBD" w:rsidRDefault="00000000" w:rsidP="00892DBD">
      <w:pPr>
        <w:pStyle w:val="ListParagraph"/>
        <w:numPr>
          <w:ilvl w:val="0"/>
          <w:numId w:val="4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HAR-RV: Heterogeneous Autoregressive Realized Volatility model (Corsi 2009) — OLS regression on daily, weekly, and monthly RV lags. Provides a direct realized-volatility benchmark.</w:t>
      </w:r>
    </w:p>
    <w:p w14:paraId="56573347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6A571D95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3.2 GARCH Forecast Results</w:t>
      </w:r>
    </w:p>
    <w:p w14:paraId="2B16C176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Figure 5 shows </w:t>
      </w: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>1,1) forecasts versus realized SPY volatility across the test period, illustrating the model's ability to track volatility regimes but tendency to lag during rapid spikes.</w:t>
      </w:r>
    </w:p>
    <w:p w14:paraId="230887A9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lastRenderedPageBreak/>
        <w:drawing>
          <wp:inline distT="0" distB="0" distL="0" distR="0" wp14:anchorId="01E7C30A" wp14:editId="3331FA4D">
            <wp:extent cx="5524500" cy="3495675"/>
            <wp:effectExtent l="0" t="0" r="0" b="0"/>
            <wp:docPr id="798621170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364A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Figure 5. </w:t>
      </w:r>
      <w:proofErr w:type="gramStart"/>
      <w:r w:rsidRPr="00892DBD">
        <w:rPr>
          <w:rFonts w:ascii="Garamond" w:hAnsi="Garamond"/>
          <w:i/>
          <w:iCs/>
          <w:color w:val="555555"/>
          <w:sz w:val="18"/>
          <w:szCs w:val="18"/>
        </w:rPr>
        <w:t>GARCH(</w:t>
      </w:r>
      <w:proofErr w:type="gramEnd"/>
      <w:r w:rsidRPr="00892DBD">
        <w:rPr>
          <w:rFonts w:ascii="Garamond" w:hAnsi="Garamond"/>
          <w:i/>
          <w:iCs/>
          <w:color w:val="555555"/>
          <w:sz w:val="18"/>
          <w:szCs w:val="18"/>
        </w:rPr>
        <w:t>1,1) 1-day-ahead forecasts vs. realized volatility for SPY, Jan 2018–Dec 2025. Shaded region = high-volatility regime (&gt;25%).</w:t>
      </w:r>
    </w:p>
    <w:p w14:paraId="28B46AD5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2C733ED4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3.3 Econometric Model Comparison</w:t>
      </w:r>
    </w:p>
    <w:p w14:paraId="5C3E0F80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Table 2 presents cross-asset mean forecast accuracy metrics at the 1-day, 5-day, and 20-day horizons for all four econometric models.</w:t>
      </w:r>
    </w:p>
    <w:p w14:paraId="53E57C16" w14:textId="77777777" w:rsidR="00BD3694" w:rsidRPr="00892DBD" w:rsidRDefault="00BD3694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800"/>
        <w:gridCol w:w="1800"/>
        <w:gridCol w:w="1360"/>
      </w:tblGrid>
      <w:tr w:rsidR="00BD3694" w:rsidRPr="00892DBD" w14:paraId="08754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48F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C21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RMSE (h=1)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BE5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RMSE (h=5)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6B6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RMSE (h=20)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A59D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Dir. Acc.</w:t>
            </w:r>
          </w:p>
        </w:tc>
      </w:tr>
      <w:tr w:rsidR="00BD3694" w:rsidRPr="00892DBD" w14:paraId="1592CD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FE5C7" w14:textId="77777777" w:rsidR="00BD3694" w:rsidRPr="00892DBD" w:rsidRDefault="00000000">
            <w:pPr>
              <w:rPr>
                <w:rFonts w:ascii="Garamond" w:hAnsi="Garamond"/>
              </w:rPr>
            </w:pP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EB81E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6.255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A32E8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6.586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FF096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12.185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D592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79.7%</w:t>
            </w:r>
          </w:p>
        </w:tc>
      </w:tr>
      <w:tr w:rsidR="00BD3694" w:rsidRPr="00892DBD" w14:paraId="600D2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0F397" w14:textId="77777777" w:rsidR="00BD3694" w:rsidRPr="00892DBD" w:rsidRDefault="00000000">
            <w:pPr>
              <w:rPr>
                <w:rFonts w:ascii="Garamond" w:hAnsi="Garamond"/>
              </w:rPr>
            </w:pP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EGARCH(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DC47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7.364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6F68D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7.891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D599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12.387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2AB9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79.0%</w:t>
            </w:r>
          </w:p>
        </w:tc>
      </w:tr>
      <w:tr w:rsidR="00BD3694" w:rsidRPr="00892DBD" w14:paraId="7A30A0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D8A33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GJR-</w:t>
            </w: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BC23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6.949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74D7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6.946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2B32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12.036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ED2F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76.3%</w:t>
            </w:r>
          </w:p>
        </w:tc>
      </w:tr>
      <w:tr w:rsidR="00BD3694" w:rsidRPr="00892DBD" w14:paraId="29E716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76D1C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HAR-RV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19A3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17.964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6486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19.323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3C2F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25.976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BAF7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88.9%</w:t>
            </w:r>
          </w:p>
        </w:tc>
      </w:tr>
    </w:tbl>
    <w:p w14:paraId="21444A55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Table 2. Cross-asset mean RMSE (annualized %) and directional accuracy at 1-, 5-, and 20-day horizons. Lower RMSE = better; higher Dir. Acc. = better.</w:t>
      </w:r>
    </w:p>
    <w:p w14:paraId="53E45F2B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7B23C89D" w14:textId="77777777" w:rsidR="00BD3694" w:rsidRPr="00892DBD" w:rsidRDefault="00000000">
      <w:pPr>
        <w:spacing w:before="80" w:after="80"/>
        <w:rPr>
          <w:rFonts w:ascii="Garamond" w:hAnsi="Garamond"/>
        </w:rPr>
      </w:pP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>1,1) achieves the best 1-day RMSE among econometric models (6.255%), consistent with Hansen &amp; Lunde (2005). HAR-RV shows high directional accuracy (88.9%) despite large RMSE, suggesting it captures regime transitions well but overestimates level. GJR-GARCH is most competitive at longer horizons (best RMSE at h=20: 12.036%).</w:t>
      </w:r>
    </w:p>
    <w:p w14:paraId="204BB2DE" w14:textId="77777777" w:rsidR="00892DBD" w:rsidRPr="00892DBD" w:rsidRDefault="00892DBD" w:rsidP="00892DBD">
      <w:pPr>
        <w:rPr>
          <w:rFonts w:ascii="Garamond" w:hAnsi="Garamond"/>
        </w:rPr>
      </w:pPr>
    </w:p>
    <w:p w14:paraId="5C33775A" w14:textId="77777777" w:rsidR="00892DBD" w:rsidRPr="00892DBD" w:rsidRDefault="00892DBD" w:rsidP="00892DBD">
      <w:pPr>
        <w:rPr>
          <w:rFonts w:ascii="Garamond" w:hAnsi="Garamond"/>
        </w:rPr>
      </w:pPr>
    </w:p>
    <w:p w14:paraId="127AFB1C" w14:textId="77777777" w:rsidR="00892DBD" w:rsidRPr="00892DBD" w:rsidRDefault="00892DBD">
      <w:pPr>
        <w:rPr>
          <w:rFonts w:ascii="Garamond" w:hAnsi="Garamond"/>
          <w:b/>
          <w:bCs/>
          <w:color w:val="1F3864"/>
          <w:sz w:val="32"/>
          <w:szCs w:val="32"/>
        </w:rPr>
      </w:pPr>
      <w:r w:rsidRPr="00892DBD">
        <w:rPr>
          <w:rFonts w:ascii="Garamond" w:hAnsi="Garamond"/>
          <w:b/>
          <w:bCs/>
          <w:color w:val="1F3864"/>
          <w:sz w:val="32"/>
          <w:szCs w:val="32"/>
        </w:rPr>
        <w:br w:type="page"/>
      </w:r>
    </w:p>
    <w:p w14:paraId="32F4820D" w14:textId="3A0CA74D" w:rsidR="00BD3694" w:rsidRPr="00892DBD" w:rsidRDefault="00000000" w:rsidP="00892DBD">
      <w:pPr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  <w:sz w:val="32"/>
          <w:szCs w:val="32"/>
        </w:rPr>
        <w:lastRenderedPageBreak/>
        <w:t>4. Machine Learning Models</w:t>
      </w:r>
    </w:p>
    <w:p w14:paraId="692E0416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4.1 Feature Engineering</w:t>
      </w:r>
    </w:p>
    <w:p w14:paraId="255FB841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A feature matrix of 31 predictors was constructed for all 18 assets, yielding 70,956 observations. All features use a one-day lag </w:t>
      </w:r>
      <w:proofErr w:type="gramStart"/>
      <w:r w:rsidRPr="00892DBD">
        <w:rPr>
          <w:rFonts w:ascii="Garamond" w:hAnsi="Garamond"/>
        </w:rPr>
        <w:t>(.shift</w:t>
      </w:r>
      <w:proofErr w:type="gramEnd"/>
      <w:r w:rsidRPr="00892DBD">
        <w:rPr>
          <w:rFonts w:ascii="Garamond" w:hAnsi="Garamond"/>
        </w:rPr>
        <w:t>(1)) to prevent look-ahead bias. Features span five categories:</w:t>
      </w:r>
    </w:p>
    <w:p w14:paraId="642C5D8B" w14:textId="77777777" w:rsidR="00BD3694" w:rsidRPr="00892DBD" w:rsidRDefault="00BD3694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BD3694" w:rsidRPr="00892DBD" w14:paraId="21C9E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85B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D71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2868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BD3694" w:rsidRPr="00892DBD" w14:paraId="78A032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7DCC1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Historical Volatility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CC5A8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RV lags (1,5,10,20,60d), 60d MA, momentum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7AD4E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</w:t>
            </w:r>
          </w:p>
        </w:tc>
      </w:tr>
      <w:tr w:rsidR="00BD3694" w:rsidRPr="00892DBD" w14:paraId="6D977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89A91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Return Dynamics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E85C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Lagged returns (1–5d), abs. returns, rolling skew/kurtosis, max abs return (20d), squared return lag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E88E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10</w:t>
            </w:r>
          </w:p>
        </w:tc>
      </w:tr>
      <w:tr w:rsidR="00BD3694" w:rsidRPr="00892DBD" w14:paraId="309DE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DDA26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Market Microstructure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6D2C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High-low range, 5d range MA, volume ratio, gap frequency (20d)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0D02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4</w:t>
            </w:r>
          </w:p>
        </w:tc>
      </w:tr>
      <w:tr w:rsidR="00BD3694" w:rsidRPr="00892DBD" w14:paraId="61F64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73101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Market-Wide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FC376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VIX level, VIX change, SPY realized vol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A6660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3</w:t>
            </w:r>
          </w:p>
        </w:tc>
      </w:tr>
      <w:tr w:rsidR="00BD3694" w:rsidRPr="00892DBD" w14:paraId="6DC2B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82342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Calendar Effects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642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Day-of-week dummies (Mon–Fri)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92450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5</w:t>
            </w:r>
          </w:p>
        </w:tc>
      </w:tr>
      <w:tr w:rsidR="00BD3694" w:rsidRPr="00892DBD" w14:paraId="32E39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93EAB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Total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60068" w14:textId="77777777" w:rsidR="00BD3694" w:rsidRPr="00892DBD" w:rsidRDefault="00BD3694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A914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31</w:t>
            </w:r>
          </w:p>
        </w:tc>
      </w:tr>
    </w:tbl>
    <w:p w14:paraId="613F4C9F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Table 3. Feature engineering categories and counts. Correlation filtering (|r|&gt;0.95) was applied; no pairs exceeded the threshold.</w:t>
      </w:r>
    </w:p>
    <w:p w14:paraId="546B4CBF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336C2530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4.2 Models Implemented</w:t>
      </w:r>
    </w:p>
    <w:p w14:paraId="56DB6832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Random Forest (500 trees): Ensemble of decision trees with bootstrapped samples and random feature subsets. Includes </w:t>
      </w:r>
      <w:proofErr w:type="spellStart"/>
      <w:r w:rsidRPr="00892DBD">
        <w:rPr>
          <w:rFonts w:ascii="Garamond" w:hAnsi="Garamond"/>
        </w:rPr>
        <w:t>StandardScaler</w:t>
      </w:r>
      <w:proofErr w:type="spellEnd"/>
      <w:r w:rsidRPr="00892DBD">
        <w:rPr>
          <w:rFonts w:ascii="Garamond" w:hAnsi="Garamond"/>
        </w:rPr>
        <w:t xml:space="preserve"> internally. Parallelized over 18 assets using </w:t>
      </w:r>
      <w:proofErr w:type="spellStart"/>
      <w:proofErr w:type="gramStart"/>
      <w:r w:rsidRPr="00892DBD">
        <w:rPr>
          <w:rFonts w:ascii="Garamond" w:hAnsi="Garamond"/>
        </w:rPr>
        <w:t>joblib</w:t>
      </w:r>
      <w:proofErr w:type="spellEnd"/>
      <w:r w:rsidRPr="00892DBD">
        <w:rPr>
          <w:rFonts w:ascii="Garamond" w:hAnsi="Garamond"/>
        </w:rPr>
        <w:t>;</w:t>
      </w:r>
      <w:proofErr w:type="gramEnd"/>
      <w:r w:rsidRPr="00892DBD">
        <w:rPr>
          <w:rFonts w:ascii="Garamond" w:hAnsi="Garamond"/>
        </w:rPr>
        <w:t xml:space="preserve"> runtime ~696 seconds.</w:t>
      </w:r>
    </w:p>
    <w:p w14:paraId="3A392420" w14:textId="77777777" w:rsidR="00BD3694" w:rsidRPr="00892DBD" w:rsidRDefault="00000000">
      <w:pPr>
        <w:spacing w:before="80" w:after="80"/>
        <w:rPr>
          <w:rFonts w:ascii="Garamond" w:hAnsi="Garamond"/>
        </w:rPr>
      </w:pPr>
      <w:proofErr w:type="spellStart"/>
      <w:r w:rsidRPr="00892DBD">
        <w:rPr>
          <w:rFonts w:ascii="Garamond" w:hAnsi="Garamond"/>
        </w:rPr>
        <w:t>XGBoost</w:t>
      </w:r>
      <w:proofErr w:type="spellEnd"/>
      <w:r w:rsidRPr="00892DBD">
        <w:rPr>
          <w:rFonts w:ascii="Garamond" w:hAnsi="Garamond"/>
        </w:rPr>
        <w:t xml:space="preserve"> (gradient boosting): With 15% validation split for early stopping and learning rate 0.05. Runtime ~58 seconds — 12× faster than RF.</w:t>
      </w:r>
    </w:p>
    <w:p w14:paraId="3D2BB0EC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0B57C850" w14:textId="77777777" w:rsidR="00892DBD" w:rsidRPr="00892DBD" w:rsidRDefault="00892DBD">
      <w:pPr>
        <w:spacing w:before="80" w:after="80"/>
        <w:rPr>
          <w:rFonts w:ascii="Garamond" w:hAnsi="Garamond"/>
        </w:rPr>
      </w:pPr>
    </w:p>
    <w:p w14:paraId="502F2AA5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4.3 Feature Importance</w:t>
      </w:r>
    </w:p>
    <w:p w14:paraId="3C83DEC6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Figure 6 shows cross-asset mean feature importance from Random Forest trained on the full training period (2010–2017). The most recent realized volatility lag dominates, followed by maximum absolute 20-day return — consistent with volatility persistence and the leverage effect.</w:t>
      </w:r>
    </w:p>
    <w:p w14:paraId="2A061BD0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lastRenderedPageBreak/>
        <w:drawing>
          <wp:inline distT="0" distB="0" distL="0" distR="0" wp14:anchorId="1F5C2123" wp14:editId="571A4708">
            <wp:extent cx="5334000" cy="3619500"/>
            <wp:effectExtent l="0" t="0" r="0" b="5715"/>
            <wp:docPr id="1567561660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B1C9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Figure 6. </w:t>
      </w:r>
      <w:proofErr w:type="gramStart"/>
      <w:r w:rsidRPr="00892DBD">
        <w:rPr>
          <w:rFonts w:ascii="Garamond" w:hAnsi="Garamond"/>
          <w:i/>
          <w:iCs/>
          <w:color w:val="555555"/>
          <w:sz w:val="18"/>
          <w:szCs w:val="18"/>
        </w:rPr>
        <w:t>Top-10</w:t>
      </w:r>
      <w:proofErr w:type="gramEnd"/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 features by cross-asset mean Random Forest importance. rv_lag1 (26.8%) and max_abs_ret_20 (19.9%) are dominant.</w:t>
      </w:r>
    </w:p>
    <w:p w14:paraId="236240D7" w14:textId="77777777" w:rsidR="00BD3694" w:rsidRPr="00892DBD" w:rsidRDefault="00BD3694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430"/>
        <w:gridCol w:w="2430"/>
      </w:tblGrid>
      <w:tr w:rsidR="00BD3694" w:rsidRPr="00892DBD" w14:paraId="1B127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434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1BE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Importance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7B50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BD3694" w:rsidRPr="00892DBD" w14:paraId="26F62F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8AEF2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rv_lag1 (1-day RV lag)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C506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26.78%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48A9C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Historical Vol</w:t>
            </w:r>
          </w:p>
        </w:tc>
      </w:tr>
      <w:tr w:rsidR="00BD3694" w:rsidRPr="00892DBD" w14:paraId="0BB33F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28D3F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max_abs_ret_20 (max abs return, 20d)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17AA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19.94%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B77E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Return Dynamics</w:t>
            </w:r>
          </w:p>
        </w:tc>
      </w:tr>
      <w:tr w:rsidR="00BD3694" w:rsidRPr="00892DBD" w14:paraId="70C332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A35B2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rv_lag10 (10-day RV lag)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AE3E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8.47%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5E086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Historical Vol</w:t>
            </w:r>
          </w:p>
        </w:tc>
      </w:tr>
      <w:tr w:rsidR="00BD3694" w:rsidRPr="00892DBD" w14:paraId="1C7C17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DA5F9" w14:textId="77777777" w:rsidR="00BD3694" w:rsidRPr="00892DBD" w:rsidRDefault="00000000">
            <w:pPr>
              <w:rPr>
                <w:rFonts w:ascii="Garamond" w:hAnsi="Garamond"/>
              </w:rPr>
            </w:pPr>
            <w:proofErr w:type="spellStart"/>
            <w:r w:rsidRPr="00892DBD">
              <w:rPr>
                <w:rFonts w:ascii="Garamond" w:hAnsi="Garamond"/>
                <w:sz w:val="20"/>
                <w:szCs w:val="20"/>
              </w:rPr>
              <w:t>spy_rv</w:t>
            </w:r>
            <w:proofErr w:type="spellEnd"/>
            <w:r w:rsidRPr="00892DBD">
              <w:rPr>
                <w:rFonts w:ascii="Garamond" w:hAnsi="Garamond"/>
                <w:sz w:val="20"/>
                <w:szCs w:val="20"/>
              </w:rPr>
              <w:t xml:space="preserve"> (SPY realized vol)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4FA5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7.27%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43D2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Market-Wide</w:t>
            </w:r>
          </w:p>
        </w:tc>
      </w:tr>
      <w:tr w:rsidR="00BD3694" w:rsidRPr="00892DBD" w14:paraId="4B222E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44ADE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hl_range_ma5 (5d high-low range MA)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016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6.59%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70B8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Microstructure</w:t>
            </w:r>
          </w:p>
        </w:tc>
      </w:tr>
      <w:tr w:rsidR="00BD3694" w:rsidRPr="00892DBD" w14:paraId="129FF6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6A88C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rv_momentum_5_20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CF80B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5.20%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4C17E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Historical Vol</w:t>
            </w:r>
          </w:p>
        </w:tc>
      </w:tr>
      <w:tr w:rsidR="00BD3694" w:rsidRPr="00892DBD" w14:paraId="1DB825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39D0E" w14:textId="77777777" w:rsidR="00BD3694" w:rsidRPr="00892DBD" w:rsidRDefault="00000000">
            <w:pPr>
              <w:rPr>
                <w:rFonts w:ascii="Garamond" w:hAnsi="Garamond"/>
              </w:rPr>
            </w:pPr>
            <w:proofErr w:type="spellStart"/>
            <w:r w:rsidRPr="00892DBD">
              <w:rPr>
                <w:rFonts w:ascii="Garamond" w:hAnsi="Garamond"/>
                <w:sz w:val="20"/>
                <w:szCs w:val="20"/>
              </w:rPr>
              <w:t>vix_level</w:t>
            </w:r>
            <w:proofErr w:type="spellEnd"/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CDD4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4.85%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1D9AB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Market-Wide</w:t>
            </w:r>
          </w:p>
        </w:tc>
      </w:tr>
      <w:tr w:rsidR="00BD3694" w:rsidRPr="00892DBD" w14:paraId="37C30A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D0C2B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rv_ma60 (60-day RV moving avg)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8AA2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4.14%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4A6E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Historical Vol</w:t>
            </w:r>
          </w:p>
        </w:tc>
      </w:tr>
      <w:tr w:rsidR="00BD3694" w:rsidRPr="00892DBD" w14:paraId="0AD098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9F847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rv_lag20 (20-day RV lag)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6A92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2.69%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577C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Historical Vol</w:t>
            </w:r>
          </w:p>
        </w:tc>
      </w:tr>
      <w:tr w:rsidR="00BD3694" w:rsidRPr="00892DBD" w14:paraId="04B0E4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B5C8E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gap_freq_20 (gap frequency, 20d)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A328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2.11%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1FAD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Microstructure</w:t>
            </w:r>
          </w:p>
        </w:tc>
      </w:tr>
    </w:tbl>
    <w:p w14:paraId="113F6B6D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Table 4. </w:t>
      </w:r>
      <w:proofErr w:type="gramStart"/>
      <w:r w:rsidRPr="00892DBD">
        <w:rPr>
          <w:rFonts w:ascii="Garamond" w:hAnsi="Garamond"/>
          <w:i/>
          <w:iCs/>
          <w:color w:val="555555"/>
          <w:sz w:val="18"/>
          <w:szCs w:val="18"/>
        </w:rPr>
        <w:t>Top-10</w:t>
      </w:r>
      <w:proofErr w:type="gramEnd"/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 Random Forest feature importances (cross-asset mean). Historical volatility lags account for ~47% of total importance.</w:t>
      </w:r>
    </w:p>
    <w:p w14:paraId="4908E8E6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0B911A86" w14:textId="77777777" w:rsidR="00892DBD" w:rsidRPr="00892DBD" w:rsidRDefault="00892DBD">
      <w:pPr>
        <w:pStyle w:val="Heading2"/>
        <w:spacing w:before="240" w:after="120"/>
        <w:rPr>
          <w:rFonts w:ascii="Garamond" w:hAnsi="Garamond"/>
          <w:b/>
          <w:bCs/>
          <w:color w:val="2E5F8A"/>
        </w:rPr>
      </w:pPr>
    </w:p>
    <w:p w14:paraId="7D754373" w14:textId="77777777" w:rsidR="00892DBD" w:rsidRDefault="00892DBD">
      <w:pPr>
        <w:rPr>
          <w:rFonts w:ascii="Garamond" w:hAnsi="Garamond"/>
          <w:b/>
          <w:bCs/>
          <w:color w:val="2E5F8A"/>
          <w:sz w:val="26"/>
          <w:szCs w:val="26"/>
        </w:rPr>
      </w:pPr>
      <w:r>
        <w:rPr>
          <w:rFonts w:ascii="Garamond" w:hAnsi="Garamond"/>
          <w:b/>
          <w:bCs/>
          <w:color w:val="2E5F8A"/>
        </w:rPr>
        <w:br w:type="page"/>
      </w:r>
    </w:p>
    <w:p w14:paraId="75DB9126" w14:textId="7E577D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lastRenderedPageBreak/>
        <w:t>4.4 ML Forecast Performance</w:t>
      </w:r>
    </w:p>
    <w:p w14:paraId="035C5798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Figure 7 compares </w:t>
      </w: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>1,1) and ML model forecasts versus realized SPY volatility across the test period, illustrating ML's generally tighter tracking of realized volatility, particularly outside stress episodes.</w:t>
      </w:r>
    </w:p>
    <w:p w14:paraId="08990E35" w14:textId="77777777" w:rsidR="00BD3694" w:rsidRPr="00892DBD" w:rsidRDefault="00000000">
      <w:pPr>
        <w:spacing w:before="120" w:after="60"/>
        <w:jc w:val="center"/>
        <w:rPr>
          <w:rFonts w:ascii="Garamond" w:hAnsi="Garamond"/>
        </w:rPr>
      </w:pPr>
      <w:r w:rsidRPr="00892DBD">
        <w:rPr>
          <w:rFonts w:ascii="Garamond" w:hAnsi="Garamond"/>
          <w:noProof/>
        </w:rPr>
        <w:drawing>
          <wp:inline distT="0" distB="0" distL="0" distR="0" wp14:anchorId="5EADABA9" wp14:editId="479F4D22">
            <wp:extent cx="5524500" cy="3686175"/>
            <wp:effectExtent l="0" t="0" r="0" b="0"/>
            <wp:docPr id="73363076" name="Figure" descr="Research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AC44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Figure 7. SPY 1-day-ahead forecasts: </w:t>
      </w:r>
      <w:proofErr w:type="gramStart"/>
      <w:r w:rsidRPr="00892DBD">
        <w:rPr>
          <w:rFonts w:ascii="Garamond" w:hAnsi="Garamond"/>
          <w:i/>
          <w:iCs/>
          <w:color w:val="555555"/>
          <w:sz w:val="18"/>
          <w:szCs w:val="18"/>
        </w:rPr>
        <w:t>GARCH(</w:t>
      </w:r>
      <w:proofErr w:type="gramEnd"/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1,1), Random Forest, and </w:t>
      </w:r>
      <w:proofErr w:type="spellStart"/>
      <w:r w:rsidRPr="00892DBD">
        <w:rPr>
          <w:rFonts w:ascii="Garamond" w:hAnsi="Garamond"/>
          <w:i/>
          <w:iCs/>
          <w:color w:val="555555"/>
          <w:sz w:val="18"/>
          <w:szCs w:val="18"/>
        </w:rPr>
        <w:t>XGBoost</w:t>
      </w:r>
      <w:proofErr w:type="spellEnd"/>
      <w:r w:rsidRPr="00892DBD">
        <w:rPr>
          <w:rFonts w:ascii="Garamond" w:hAnsi="Garamond"/>
          <w:i/>
          <w:iCs/>
          <w:color w:val="555555"/>
          <w:sz w:val="18"/>
          <w:szCs w:val="18"/>
        </w:rPr>
        <w:t xml:space="preserve"> vs. realized volatility, Jan 2018–Dec 2025.</w:t>
      </w:r>
    </w:p>
    <w:p w14:paraId="3157A291" w14:textId="77777777" w:rsidR="00BD3694" w:rsidRPr="00892DBD" w:rsidRDefault="00000000">
      <w:pPr>
        <w:rPr>
          <w:rFonts w:ascii="Garamond" w:hAnsi="Garamond"/>
        </w:rPr>
      </w:pPr>
      <w:r w:rsidRPr="00892DBD">
        <w:rPr>
          <w:rFonts w:ascii="Garamond" w:hAnsi="Garamond"/>
        </w:rPr>
        <w:br w:type="page"/>
      </w:r>
    </w:p>
    <w:p w14:paraId="0A0463E1" w14:textId="77777777" w:rsidR="00BD3694" w:rsidRPr="00892DBD" w:rsidRDefault="00000000">
      <w:pPr>
        <w:pStyle w:val="Heading1"/>
        <w:spacing w:before="320" w:after="16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</w:rPr>
        <w:lastRenderedPageBreak/>
        <w:t>5. Preliminary Forecast Accuracy Results</w:t>
      </w:r>
    </w:p>
    <w:p w14:paraId="657861FD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Table 5 presents cross-asset mean forecast accuracy metrics for all six models implemented to date at the 1-day-ahead horizon. Metrics include RMSE, MAE, QLIKE (quasi-likelihood loss, volatility-specific), and directional accuracy.</w:t>
      </w:r>
    </w:p>
    <w:p w14:paraId="56540A0A" w14:textId="77777777" w:rsidR="00BD3694" w:rsidRPr="00892DBD" w:rsidRDefault="00BD3694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1600"/>
        <w:gridCol w:w="1600"/>
        <w:gridCol w:w="2260"/>
      </w:tblGrid>
      <w:tr w:rsidR="00BD3694" w:rsidRPr="00892DBD" w14:paraId="5FBC7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076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2E1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189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5D14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QLIKE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790B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Dir. Acc.</w:t>
            </w:r>
          </w:p>
        </w:tc>
      </w:tr>
      <w:tr w:rsidR="00BD3694" w:rsidRPr="00892DBD" w14:paraId="6EA1A4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816FD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6CF0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2.039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07D8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1.224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CA34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2.180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0783E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91.9%</w:t>
            </w:r>
          </w:p>
        </w:tc>
      </w:tr>
      <w:tr w:rsidR="00BD3694" w:rsidRPr="00892DBD" w14:paraId="638A2C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D7611" w14:textId="77777777" w:rsidR="00BD3694" w:rsidRPr="00892DBD" w:rsidRDefault="00000000">
            <w:pPr>
              <w:rPr>
                <w:rFonts w:ascii="Garamond" w:hAnsi="Garamond"/>
              </w:rPr>
            </w:pPr>
            <w:proofErr w:type="spellStart"/>
            <w:r w:rsidRPr="00892DBD">
              <w:rPr>
                <w:rFonts w:ascii="Garamond" w:hAnsi="Garamond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7393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6.575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B31B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2.451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057C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2.159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3928E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88.9%</w:t>
            </w:r>
          </w:p>
        </w:tc>
      </w:tr>
      <w:tr w:rsidR="00BD3694" w:rsidRPr="00892DBD" w14:paraId="3F9B98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1A412" w14:textId="77777777" w:rsidR="00BD3694" w:rsidRPr="00892DBD" w:rsidRDefault="00000000">
            <w:pPr>
              <w:rPr>
                <w:rFonts w:ascii="Garamond" w:hAnsi="Garamond"/>
              </w:rPr>
            </w:pP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02699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6.255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5902D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4.072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8EAF5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2.224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AA65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79.7%</w:t>
            </w:r>
          </w:p>
        </w:tc>
      </w:tr>
      <w:tr w:rsidR="00BD3694" w:rsidRPr="00892DBD" w14:paraId="0A0A81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6DC0A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GJR-</w:t>
            </w: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44E8B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6.949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5D4FA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4.640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87AA6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2.219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6077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76.3%</w:t>
            </w:r>
          </w:p>
        </w:tc>
      </w:tr>
      <w:tr w:rsidR="00BD3694" w:rsidRPr="00892DBD" w14:paraId="385920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8C1B4" w14:textId="77777777" w:rsidR="00BD3694" w:rsidRPr="00892DBD" w:rsidRDefault="00000000">
            <w:pPr>
              <w:rPr>
                <w:rFonts w:ascii="Garamond" w:hAnsi="Garamond"/>
              </w:rPr>
            </w:pPr>
            <w:proofErr w:type="gramStart"/>
            <w:r w:rsidRPr="00892DBD">
              <w:rPr>
                <w:rFonts w:ascii="Garamond" w:hAnsi="Garamond"/>
                <w:sz w:val="20"/>
                <w:szCs w:val="20"/>
              </w:rPr>
              <w:t>EGARCH(</w:t>
            </w:r>
            <w:proofErr w:type="gramEnd"/>
            <w:r w:rsidRPr="00892DBD">
              <w:rPr>
                <w:rFonts w:ascii="Garamond" w:hAnsi="Garamond"/>
                <w:sz w:val="20"/>
                <w:szCs w:val="20"/>
              </w:rPr>
              <w:t>1,1)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BF3B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7.364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2F30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4.348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22B23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2.226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D9E27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79.0%</w:t>
            </w:r>
          </w:p>
        </w:tc>
      </w:tr>
      <w:tr w:rsidR="00BD3694" w:rsidRPr="00892DBD" w14:paraId="563954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14881" w14:textId="77777777" w:rsidR="00BD3694" w:rsidRPr="00892DBD" w:rsidRDefault="00000000">
            <w:pPr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HAR-RV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76C81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17.964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A836E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16.065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0E262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3.042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9B81F" w14:textId="77777777" w:rsidR="00BD3694" w:rsidRPr="00892DBD" w:rsidRDefault="00000000">
            <w:pPr>
              <w:jc w:val="center"/>
              <w:rPr>
                <w:rFonts w:ascii="Garamond" w:hAnsi="Garamond"/>
              </w:rPr>
            </w:pPr>
            <w:r w:rsidRPr="00892DBD">
              <w:rPr>
                <w:rFonts w:ascii="Garamond" w:hAnsi="Garamond"/>
                <w:sz w:val="20"/>
                <w:szCs w:val="20"/>
              </w:rPr>
              <w:t>88.9%</w:t>
            </w:r>
          </w:p>
        </w:tc>
      </w:tr>
    </w:tbl>
    <w:p w14:paraId="705C574A" w14:textId="77777777" w:rsidR="00BD3694" w:rsidRPr="00892DBD" w:rsidRDefault="00000000">
      <w:pPr>
        <w:spacing w:before="60" w:after="160"/>
        <w:jc w:val="center"/>
        <w:rPr>
          <w:rFonts w:ascii="Garamond" w:hAnsi="Garamond"/>
        </w:rPr>
      </w:pPr>
      <w:r w:rsidRPr="00892DBD">
        <w:rPr>
          <w:rFonts w:ascii="Garamond" w:hAnsi="Garamond"/>
          <w:i/>
          <w:iCs/>
          <w:color w:val="555555"/>
          <w:sz w:val="18"/>
          <w:szCs w:val="18"/>
        </w:rPr>
        <w:t>Table 5. Cross-asset mean forecast accuracy metrics, 1-day-ahead horizon. RMSE and MAE in annualized percentage points. Sorted by RMSE.</w:t>
      </w:r>
    </w:p>
    <w:p w14:paraId="218D96AA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4FD9B712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  <w:b/>
          <w:bCs/>
        </w:rPr>
        <w:t>Key findings from preliminary results:</w:t>
      </w:r>
    </w:p>
    <w:p w14:paraId="6E511A08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3860A5B5" w14:textId="77777777" w:rsidR="00BD3694" w:rsidRPr="00892DBD" w:rsidRDefault="00000000" w:rsidP="00892DBD">
      <w:pPr>
        <w:pStyle w:val="ListParagraph"/>
        <w:numPr>
          <w:ilvl w:val="0"/>
          <w:numId w:val="2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Random Forest substantially outperforms all other models on RMSE (2.039 vs. 6.255 for the best econometric model) and MAE (1.224 vs. 4.072), representing a 67% RMSE reduction over </w:t>
      </w: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>1,1). Directional accuracy is also highest at 91.9%.</w:t>
      </w:r>
    </w:p>
    <w:p w14:paraId="6EC1F3E2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21B60ADB" w14:textId="77777777" w:rsidR="00BD3694" w:rsidRPr="00892DBD" w:rsidRDefault="00000000" w:rsidP="00892DBD">
      <w:pPr>
        <w:pStyle w:val="ListParagraph"/>
        <w:numPr>
          <w:ilvl w:val="0"/>
          <w:numId w:val="2"/>
        </w:numPr>
        <w:spacing w:before="80" w:after="80"/>
        <w:rPr>
          <w:rFonts w:ascii="Garamond" w:hAnsi="Garamond"/>
        </w:rPr>
      </w:pPr>
      <w:proofErr w:type="spellStart"/>
      <w:r w:rsidRPr="00892DBD">
        <w:rPr>
          <w:rFonts w:ascii="Garamond" w:hAnsi="Garamond"/>
        </w:rPr>
        <w:t>XGBoost</w:t>
      </w:r>
      <w:proofErr w:type="spellEnd"/>
      <w:r w:rsidRPr="00892DBD">
        <w:rPr>
          <w:rFonts w:ascii="Garamond" w:hAnsi="Garamond"/>
        </w:rPr>
        <w:t xml:space="preserve"> achieves the lowest QLIKE loss (2.159), suggesting it may be better calibrated in a volatility-specific sense even though its RMSE is higher than Random Forest. This divergence warrants further investigation.</w:t>
      </w:r>
    </w:p>
    <w:p w14:paraId="5FCB40A8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137C69B7" w14:textId="77777777" w:rsidR="00BD3694" w:rsidRPr="00892DBD" w:rsidRDefault="00000000" w:rsidP="00892DBD">
      <w:pPr>
        <w:pStyle w:val="ListParagraph"/>
        <w:numPr>
          <w:ilvl w:val="0"/>
          <w:numId w:val="2"/>
        </w:numPr>
        <w:spacing w:before="80" w:after="80"/>
        <w:rPr>
          <w:rFonts w:ascii="Garamond" w:hAnsi="Garamond"/>
        </w:rPr>
      </w:pPr>
      <w:proofErr w:type="gramStart"/>
      <w:r w:rsidRPr="00892DBD">
        <w:rPr>
          <w:rFonts w:ascii="Garamond" w:hAnsi="Garamond"/>
        </w:rPr>
        <w:t>GARCH(</w:t>
      </w:r>
      <w:proofErr w:type="gramEnd"/>
      <w:r w:rsidRPr="00892DBD">
        <w:rPr>
          <w:rFonts w:ascii="Garamond" w:hAnsi="Garamond"/>
        </w:rPr>
        <w:t>1,1) remains the best econometric model on RMSE, consistent with prior literature (Hansen &amp; Lunde 2005). The asymmetric variants (EGARCH, GJR-GARCH) do not improve meaningfully over the symmetric baseline on this metric.</w:t>
      </w:r>
    </w:p>
    <w:p w14:paraId="26F04E8D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6C022C1F" w14:textId="77777777" w:rsidR="00BD3694" w:rsidRPr="00892DBD" w:rsidRDefault="00000000" w:rsidP="00892DBD">
      <w:pPr>
        <w:pStyle w:val="ListParagraph"/>
        <w:numPr>
          <w:ilvl w:val="0"/>
          <w:numId w:val="2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HAR-RV performs poorly on RMSE/MAE but achieves competitive directional accuracy (88.9%), on par with </w:t>
      </w:r>
      <w:proofErr w:type="spellStart"/>
      <w:r w:rsidRPr="00892DBD">
        <w:rPr>
          <w:rFonts w:ascii="Garamond" w:hAnsi="Garamond"/>
        </w:rPr>
        <w:t>XGBoost</w:t>
      </w:r>
      <w:proofErr w:type="spellEnd"/>
      <w:r w:rsidRPr="00892DBD">
        <w:rPr>
          <w:rFonts w:ascii="Garamond" w:hAnsi="Garamond"/>
        </w:rPr>
        <w:t>. This suggests it captures regime direction but not level.</w:t>
      </w:r>
    </w:p>
    <w:p w14:paraId="2A63843E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46D5166A" w14:textId="77777777" w:rsidR="00BD3694" w:rsidRPr="00892DBD" w:rsidRDefault="00000000">
      <w:p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Note: These preliminary results are based on cross-asset means and have not yet been subjected to formal statistical testing (Model Confidence Set). Formal inference will be conducted in Week 7.</w:t>
      </w:r>
    </w:p>
    <w:p w14:paraId="77C9BCD1" w14:textId="77777777" w:rsidR="00BD3694" w:rsidRPr="00892DBD" w:rsidRDefault="00000000">
      <w:pPr>
        <w:rPr>
          <w:rFonts w:ascii="Garamond" w:hAnsi="Garamond"/>
        </w:rPr>
      </w:pPr>
      <w:r w:rsidRPr="00892DBD">
        <w:rPr>
          <w:rFonts w:ascii="Garamond" w:hAnsi="Garamond"/>
        </w:rPr>
        <w:br w:type="page"/>
      </w:r>
    </w:p>
    <w:p w14:paraId="115D95BD" w14:textId="77777777" w:rsidR="00BD3694" w:rsidRPr="00892DBD" w:rsidRDefault="00000000">
      <w:pPr>
        <w:pStyle w:val="Heading1"/>
        <w:spacing w:before="320" w:after="16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1F3864"/>
        </w:rPr>
        <w:lastRenderedPageBreak/>
        <w:t>6. Next Steps</w:t>
      </w:r>
    </w:p>
    <w:p w14:paraId="4E463838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Week 3 (Current Week)</w:t>
      </w:r>
    </w:p>
    <w:p w14:paraId="76E79DE6" w14:textId="77777777" w:rsidR="00BD3694" w:rsidRPr="00892DBD" w:rsidRDefault="00000000" w:rsidP="00892DBD">
      <w:pPr>
        <w:pStyle w:val="ListParagraph"/>
        <w:numPr>
          <w:ilvl w:val="0"/>
          <w:numId w:val="5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Implement LSTM model (</w:t>
      </w:r>
      <w:proofErr w:type="spellStart"/>
      <w:r w:rsidRPr="00892DBD">
        <w:rPr>
          <w:rFonts w:ascii="Garamond" w:hAnsi="Garamond"/>
        </w:rPr>
        <w:t>PyTorch</w:t>
      </w:r>
      <w:proofErr w:type="spellEnd"/>
      <w:r w:rsidRPr="00892DBD">
        <w:rPr>
          <w:rFonts w:ascii="Garamond" w:hAnsi="Garamond"/>
        </w:rPr>
        <w:t>, 2–3 layers, 64–128 units, dropout 0.2–0.3) with 20–</w:t>
      </w:r>
      <w:proofErr w:type="gramStart"/>
      <w:r w:rsidRPr="00892DBD">
        <w:rPr>
          <w:rFonts w:ascii="Garamond" w:hAnsi="Garamond"/>
        </w:rPr>
        <w:t>60 day</w:t>
      </w:r>
      <w:proofErr w:type="gramEnd"/>
      <w:r w:rsidRPr="00892DBD">
        <w:rPr>
          <w:rFonts w:ascii="Garamond" w:hAnsi="Garamond"/>
        </w:rPr>
        <w:t xml:space="preserve"> lookback windows.</w:t>
      </w:r>
    </w:p>
    <w:p w14:paraId="2EA16D6D" w14:textId="77777777" w:rsidR="00BD3694" w:rsidRPr="00892DBD" w:rsidRDefault="00000000" w:rsidP="00892DBD">
      <w:pPr>
        <w:pStyle w:val="ListParagraph"/>
        <w:numPr>
          <w:ilvl w:val="0"/>
          <w:numId w:val="5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Implement hybrid models: GARCH-RF and GARCH-</w:t>
      </w:r>
      <w:proofErr w:type="spellStart"/>
      <w:r w:rsidRPr="00892DBD">
        <w:rPr>
          <w:rFonts w:ascii="Garamond" w:hAnsi="Garamond"/>
        </w:rPr>
        <w:t>XGBoost</w:t>
      </w:r>
      <w:proofErr w:type="spellEnd"/>
      <w:r w:rsidRPr="00892DBD">
        <w:rPr>
          <w:rFonts w:ascii="Garamond" w:hAnsi="Garamond"/>
        </w:rPr>
        <w:t>, feeding GARCH fitted values and residuals as additional features.</w:t>
      </w:r>
    </w:p>
    <w:p w14:paraId="01EFC598" w14:textId="77777777" w:rsidR="00BD3694" w:rsidRPr="00892DBD" w:rsidRDefault="00000000" w:rsidP="00892DBD">
      <w:pPr>
        <w:pStyle w:val="ListParagraph"/>
        <w:numPr>
          <w:ilvl w:val="0"/>
          <w:numId w:val="5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Complete regime-stratified evaluation (low/medium/high volatility regimes) — debug </w:t>
      </w:r>
      <w:proofErr w:type="spellStart"/>
      <w:r w:rsidRPr="00892DBD">
        <w:rPr>
          <w:rFonts w:ascii="Garamond" w:hAnsi="Garamond"/>
        </w:rPr>
        <w:t>NaN</w:t>
      </w:r>
      <w:proofErr w:type="spellEnd"/>
      <w:r w:rsidRPr="00892DBD">
        <w:rPr>
          <w:rFonts w:ascii="Garamond" w:hAnsi="Garamond"/>
        </w:rPr>
        <w:t xml:space="preserve"> issue identified in regime evaluation output.</w:t>
      </w:r>
    </w:p>
    <w:p w14:paraId="667C0746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3F2FE4F8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Weeks 4–5 (Upcoming)</w:t>
      </w:r>
    </w:p>
    <w:p w14:paraId="2B6FD516" w14:textId="77777777" w:rsidR="00BD3694" w:rsidRPr="00892DBD" w:rsidRDefault="00000000" w:rsidP="00892DBD">
      <w:pPr>
        <w:pStyle w:val="ListParagraph"/>
        <w:numPr>
          <w:ilvl w:val="0"/>
          <w:numId w:val="6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Conduct formal statistical evaluation: Model Confidence Set (Hansen &amp; Lunde 2006), 90% and 95% confidence sets across all 8 models.</w:t>
      </w:r>
    </w:p>
    <w:p w14:paraId="7C4E8268" w14:textId="77777777" w:rsidR="00BD3694" w:rsidRPr="00892DBD" w:rsidRDefault="00000000" w:rsidP="00892DBD">
      <w:pPr>
        <w:pStyle w:val="ListParagraph"/>
        <w:numPr>
          <w:ilvl w:val="0"/>
          <w:numId w:val="6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 xml:space="preserve">Portfolio </w:t>
      </w:r>
      <w:proofErr w:type="spellStart"/>
      <w:r w:rsidRPr="00892DBD">
        <w:rPr>
          <w:rFonts w:ascii="Garamond" w:hAnsi="Garamond"/>
        </w:rPr>
        <w:t>backtesting</w:t>
      </w:r>
      <w:proofErr w:type="spellEnd"/>
      <w:r w:rsidRPr="00892DBD">
        <w:rPr>
          <w:rFonts w:ascii="Garamond" w:hAnsi="Garamond"/>
        </w:rPr>
        <w:t>: volatility-timing (SPY/SHY), risk-parity (15-stock), and regime-based allocation strategies with $5/trade transaction cost drag.</w:t>
      </w:r>
    </w:p>
    <w:p w14:paraId="6AEDD2AE" w14:textId="77777777" w:rsidR="00BD3694" w:rsidRPr="00892DBD" w:rsidRDefault="00000000" w:rsidP="00892DBD">
      <w:pPr>
        <w:pStyle w:val="ListParagraph"/>
        <w:numPr>
          <w:ilvl w:val="0"/>
          <w:numId w:val="6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Compute economic performance metrics: Sharpe ratio, Sortino ratio, maximum drawdown, Calmar ratio.</w:t>
      </w:r>
    </w:p>
    <w:p w14:paraId="40B843A3" w14:textId="77777777" w:rsidR="00BD3694" w:rsidRPr="00892DBD" w:rsidRDefault="00BD3694">
      <w:pPr>
        <w:spacing w:before="80" w:after="80"/>
        <w:rPr>
          <w:rFonts w:ascii="Garamond" w:hAnsi="Garamond"/>
        </w:rPr>
      </w:pPr>
    </w:p>
    <w:p w14:paraId="7807A9BD" w14:textId="77777777" w:rsidR="00BD3694" w:rsidRPr="00892DBD" w:rsidRDefault="00000000">
      <w:pPr>
        <w:pStyle w:val="Heading2"/>
        <w:spacing w:before="240" w:after="120"/>
        <w:rPr>
          <w:rFonts w:ascii="Garamond" w:hAnsi="Garamond"/>
        </w:rPr>
      </w:pPr>
      <w:r w:rsidRPr="00892DBD">
        <w:rPr>
          <w:rFonts w:ascii="Garamond" w:hAnsi="Garamond"/>
          <w:b/>
          <w:bCs/>
          <w:color w:val="2E5F8A"/>
        </w:rPr>
        <w:t>Weeks 6–7 (Final)</w:t>
      </w:r>
    </w:p>
    <w:p w14:paraId="5907BC95" w14:textId="77777777" w:rsidR="00BD3694" w:rsidRPr="00892DBD" w:rsidRDefault="00000000" w:rsidP="00892DBD">
      <w:pPr>
        <w:pStyle w:val="ListParagraph"/>
        <w:numPr>
          <w:ilvl w:val="0"/>
          <w:numId w:val="7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Robustness and sensitivity analysis across all 18 assets.</w:t>
      </w:r>
    </w:p>
    <w:p w14:paraId="18DA82D0" w14:textId="77777777" w:rsidR="00BD3694" w:rsidRPr="00892DBD" w:rsidRDefault="00000000" w:rsidP="00892DBD">
      <w:pPr>
        <w:pStyle w:val="ListParagraph"/>
        <w:numPr>
          <w:ilvl w:val="0"/>
          <w:numId w:val="7"/>
        </w:numPr>
        <w:spacing w:before="80" w:after="80"/>
        <w:rPr>
          <w:rFonts w:ascii="Garamond" w:hAnsi="Garamond"/>
        </w:rPr>
      </w:pPr>
      <w:r w:rsidRPr="00892DBD">
        <w:rPr>
          <w:rFonts w:ascii="Garamond" w:hAnsi="Garamond"/>
        </w:rPr>
        <w:t>Draft research manuscript (5,000–8,000 words) and Fall Symposium poster.</w:t>
      </w:r>
    </w:p>
    <w:p w14:paraId="2E50555F" w14:textId="247E2077" w:rsidR="00BD3694" w:rsidRPr="00892DBD" w:rsidRDefault="00BD3694" w:rsidP="00892DBD">
      <w:pPr>
        <w:spacing w:before="80" w:after="40"/>
        <w:rPr>
          <w:rFonts w:ascii="Garamond" w:hAnsi="Garamond"/>
        </w:rPr>
      </w:pPr>
    </w:p>
    <w:sectPr w:rsidR="00BD3694" w:rsidRPr="00892DBD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E4605" w14:textId="77777777" w:rsidR="00993F6E" w:rsidRDefault="00993F6E">
      <w:r>
        <w:separator/>
      </w:r>
    </w:p>
  </w:endnote>
  <w:endnote w:type="continuationSeparator" w:id="0">
    <w:p w14:paraId="633EE70D" w14:textId="77777777" w:rsidR="00993F6E" w:rsidRDefault="00993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6AF6" w14:textId="77777777" w:rsidR="00BD3694" w:rsidRPr="00892DBD" w:rsidRDefault="00000000">
    <w:pPr>
      <w:pBdr>
        <w:top w:val="single" w:sz="3" w:space="1" w:color="CCCCCC"/>
      </w:pBdr>
      <w:jc w:val="center"/>
      <w:rPr>
        <w:rFonts w:ascii="Garamond" w:hAnsi="Garamond"/>
      </w:rPr>
    </w:pPr>
    <w:r w:rsidRPr="00892DBD">
      <w:rPr>
        <w:rFonts w:ascii="Garamond" w:hAnsi="Garamond"/>
        <w:color w:val="888888"/>
        <w:sz w:val="18"/>
        <w:szCs w:val="18"/>
      </w:rPr>
      <w:t xml:space="preserve">Page </w:t>
    </w:r>
    <w:r w:rsidRPr="00892DBD">
      <w:rPr>
        <w:rFonts w:ascii="Garamond" w:hAnsi="Garamond"/>
        <w:color w:val="888888"/>
        <w:sz w:val="18"/>
        <w:szCs w:val="18"/>
      </w:rPr>
      <w:fldChar w:fldCharType="begin"/>
    </w:r>
    <w:r w:rsidRPr="00892DBD">
      <w:rPr>
        <w:rFonts w:ascii="Garamond" w:hAnsi="Garamond"/>
        <w:color w:val="888888"/>
        <w:sz w:val="18"/>
        <w:szCs w:val="18"/>
      </w:rPr>
      <w:instrText>PAGE</w:instrText>
    </w:r>
    <w:r w:rsidRPr="00892DBD">
      <w:rPr>
        <w:rFonts w:ascii="Garamond" w:hAnsi="Garamond"/>
        <w:color w:val="888888"/>
        <w:sz w:val="18"/>
        <w:szCs w:val="18"/>
      </w:rPr>
      <w:fldChar w:fldCharType="separate"/>
    </w:r>
    <w:r w:rsidR="00892DBD" w:rsidRPr="00892DBD">
      <w:rPr>
        <w:rFonts w:ascii="Garamond" w:hAnsi="Garamond"/>
        <w:noProof/>
        <w:color w:val="888888"/>
        <w:sz w:val="18"/>
        <w:szCs w:val="18"/>
      </w:rPr>
      <w:t>1</w:t>
    </w:r>
    <w:r w:rsidRPr="00892DBD">
      <w:rPr>
        <w:rFonts w:ascii="Garamond" w:hAnsi="Garamond"/>
        <w:color w:val="888888"/>
        <w:sz w:val="18"/>
        <w:szCs w:val="18"/>
      </w:rPr>
      <w:fldChar w:fldCharType="end"/>
    </w:r>
    <w:r w:rsidRPr="00892DBD">
      <w:rPr>
        <w:rFonts w:ascii="Garamond" w:hAnsi="Garamond"/>
        <w:color w:val="888888"/>
        <w:sz w:val="18"/>
        <w:szCs w:val="18"/>
      </w:rPr>
      <w:t xml:space="preserve">  |  Anthony Le, Denison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6C9B" w14:textId="77777777" w:rsidR="00993F6E" w:rsidRDefault="00993F6E">
      <w:r>
        <w:separator/>
      </w:r>
    </w:p>
  </w:footnote>
  <w:footnote w:type="continuationSeparator" w:id="0">
    <w:p w14:paraId="016F4BEC" w14:textId="77777777" w:rsidR="00993F6E" w:rsidRDefault="00993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F26D" w14:textId="65B73298" w:rsidR="00BD3694" w:rsidRPr="00892DBD" w:rsidRDefault="00000000">
    <w:pPr>
      <w:pBdr>
        <w:bottom w:val="single" w:sz="3" w:space="1" w:color="1F3864"/>
      </w:pBdr>
      <w:rPr>
        <w:rFonts w:ascii="Garamond" w:hAnsi="Garamond"/>
      </w:rPr>
    </w:pPr>
    <w:r w:rsidRPr="00892DBD">
      <w:rPr>
        <w:rFonts w:ascii="Garamond" w:hAnsi="Garamond"/>
        <w:color w:val="555555"/>
        <w:sz w:val="18"/>
        <w:szCs w:val="18"/>
      </w:rPr>
      <w:t xml:space="preserve">Volatility Forecasting Research </w:t>
    </w:r>
    <w:proofErr w:type="gramStart"/>
    <w:r w:rsidRPr="00892DBD">
      <w:rPr>
        <w:rFonts w:ascii="Garamond" w:hAnsi="Garamond"/>
        <w:color w:val="555555"/>
        <w:sz w:val="18"/>
        <w:szCs w:val="18"/>
      </w:rPr>
      <w:t>|  Progress</w:t>
    </w:r>
    <w:proofErr w:type="gramEnd"/>
    <w:r w:rsidRPr="00892DBD">
      <w:rPr>
        <w:rFonts w:ascii="Garamond" w:hAnsi="Garamond"/>
        <w:color w:val="555555"/>
        <w:sz w:val="18"/>
        <w:szCs w:val="18"/>
      </w:rPr>
      <w:t xml:space="preserve"> Report </w:t>
    </w:r>
    <w:proofErr w:type="gramStart"/>
    <w:r w:rsidRPr="00892DBD">
      <w:rPr>
        <w:rFonts w:ascii="Garamond" w:hAnsi="Garamond"/>
        <w:color w:val="555555"/>
        <w:sz w:val="18"/>
        <w:szCs w:val="18"/>
      </w:rPr>
      <w:t>|  June</w:t>
    </w:r>
    <w:proofErr w:type="gramEnd"/>
    <w:r w:rsidRPr="00892DBD">
      <w:rPr>
        <w:rFonts w:ascii="Garamond" w:hAnsi="Garamond"/>
        <w:color w:val="555555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51B"/>
    <w:multiLevelType w:val="hybridMultilevel"/>
    <w:tmpl w:val="33362116"/>
    <w:lvl w:ilvl="0" w:tplc="C6BA6EDA">
      <w:start w:val="1"/>
      <w:numFmt w:val="bullet"/>
      <w:lvlText w:val="●"/>
      <w:lvlJc w:val="left"/>
      <w:pPr>
        <w:ind w:left="720" w:hanging="360"/>
      </w:pPr>
    </w:lvl>
    <w:lvl w:ilvl="1" w:tplc="317E03E0">
      <w:start w:val="1"/>
      <w:numFmt w:val="bullet"/>
      <w:lvlText w:val="○"/>
      <w:lvlJc w:val="left"/>
      <w:pPr>
        <w:ind w:left="1440" w:hanging="360"/>
      </w:pPr>
    </w:lvl>
    <w:lvl w:ilvl="2" w:tplc="123A8074">
      <w:start w:val="1"/>
      <w:numFmt w:val="bullet"/>
      <w:lvlText w:val="■"/>
      <w:lvlJc w:val="left"/>
      <w:pPr>
        <w:ind w:left="2160" w:hanging="360"/>
      </w:pPr>
    </w:lvl>
    <w:lvl w:ilvl="3" w:tplc="83B8D218">
      <w:start w:val="1"/>
      <w:numFmt w:val="bullet"/>
      <w:lvlText w:val="●"/>
      <w:lvlJc w:val="left"/>
      <w:pPr>
        <w:ind w:left="2880" w:hanging="360"/>
      </w:pPr>
    </w:lvl>
    <w:lvl w:ilvl="4" w:tplc="98C65A9E">
      <w:start w:val="1"/>
      <w:numFmt w:val="bullet"/>
      <w:lvlText w:val="○"/>
      <w:lvlJc w:val="left"/>
      <w:pPr>
        <w:ind w:left="3600" w:hanging="360"/>
      </w:pPr>
    </w:lvl>
    <w:lvl w:ilvl="5" w:tplc="C05AD06E">
      <w:start w:val="1"/>
      <w:numFmt w:val="bullet"/>
      <w:lvlText w:val="■"/>
      <w:lvlJc w:val="left"/>
      <w:pPr>
        <w:ind w:left="4320" w:hanging="360"/>
      </w:pPr>
    </w:lvl>
    <w:lvl w:ilvl="6" w:tplc="88CED0C0">
      <w:start w:val="1"/>
      <w:numFmt w:val="bullet"/>
      <w:lvlText w:val="●"/>
      <w:lvlJc w:val="left"/>
      <w:pPr>
        <w:ind w:left="5040" w:hanging="360"/>
      </w:pPr>
    </w:lvl>
    <w:lvl w:ilvl="7" w:tplc="DF74F1E0">
      <w:start w:val="1"/>
      <w:numFmt w:val="bullet"/>
      <w:lvlText w:val="●"/>
      <w:lvlJc w:val="left"/>
      <w:pPr>
        <w:ind w:left="5760" w:hanging="360"/>
      </w:pPr>
    </w:lvl>
    <w:lvl w:ilvl="8" w:tplc="DDA48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CE2A82"/>
    <w:multiLevelType w:val="hybridMultilevel"/>
    <w:tmpl w:val="055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364EC"/>
    <w:multiLevelType w:val="hybridMultilevel"/>
    <w:tmpl w:val="DEEA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A0394"/>
    <w:multiLevelType w:val="hybridMultilevel"/>
    <w:tmpl w:val="D402D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03763"/>
    <w:multiLevelType w:val="hybridMultilevel"/>
    <w:tmpl w:val="1688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77801"/>
    <w:multiLevelType w:val="hybridMultilevel"/>
    <w:tmpl w:val="0A2CA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E4C3A"/>
    <w:multiLevelType w:val="hybridMultilevel"/>
    <w:tmpl w:val="41E0B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203205">
    <w:abstractNumId w:val="0"/>
    <w:lvlOverride w:ilvl="0">
      <w:startOverride w:val="1"/>
    </w:lvlOverride>
  </w:num>
  <w:num w:numId="2" w16cid:durableId="1796292874">
    <w:abstractNumId w:val="4"/>
  </w:num>
  <w:num w:numId="3" w16cid:durableId="788671244">
    <w:abstractNumId w:val="1"/>
  </w:num>
  <w:num w:numId="4" w16cid:durableId="1731920715">
    <w:abstractNumId w:val="5"/>
  </w:num>
  <w:num w:numId="5" w16cid:durableId="305086709">
    <w:abstractNumId w:val="2"/>
  </w:num>
  <w:num w:numId="6" w16cid:durableId="644512952">
    <w:abstractNumId w:val="3"/>
  </w:num>
  <w:num w:numId="7" w16cid:durableId="1153984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694"/>
    <w:rsid w:val="00892DBD"/>
    <w:rsid w:val="00993F6E"/>
    <w:rsid w:val="00BD3694"/>
    <w:rsid w:val="00D8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7A482"/>
  <w15:docId w15:val="{3EA0E8CD-EFE7-B54A-B931-6B56DC80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D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DBD"/>
  </w:style>
  <w:style w:type="paragraph" w:styleId="Footer">
    <w:name w:val="footer"/>
    <w:basedOn w:val="Normal"/>
    <w:link w:val="FooterChar"/>
    <w:uiPriority w:val="99"/>
    <w:unhideWhenUsed/>
    <w:rsid w:val="00892D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Le</cp:lastModifiedBy>
  <cp:revision>2</cp:revision>
  <cp:lastPrinted>2026-06-01T19:48:00Z</cp:lastPrinted>
  <dcterms:created xsi:type="dcterms:W3CDTF">2026-06-01T19:38:00Z</dcterms:created>
  <dcterms:modified xsi:type="dcterms:W3CDTF">2026-06-01T19:49:00Z</dcterms:modified>
</cp:coreProperties>
</file>