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NetSuite vendor column mapping</w:t>
      </w:r>
    </w:p>
    <w:p>
      <w:pPr>
        <w:pStyle w:val="Subtitle"/>
      </w:pPr>
      <w:r>
        <w:t xml:space="preserve">Vendor import: MINIO_Vendor_Template_10192026.xlsx</w:t>
      </w:r>
    </w:p>
    <w:bookmarkStart w:id="20" w:name="overview"/>
    <w:p>
      <w:pPr>
        <w:pStyle w:val="Heading1"/>
      </w:pPr>
      <w:r>
        <w:t xml:space="preserve">Overview</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Template</w:t>
            </w:r>
          </w:p>
        </w:tc>
        <w:tc>
          <w:tcPr>
            <w:tcW w:type="dxa" w:w="6739"/>
          </w:tcPr>
          <w:p>
            <w:pPr>
              <w:pStyle w:val="Compact"/>
              <w:spacing w:before="40" w:after="40"/>
              <w:jc w:val="left"/>
            </w:pPr>
            <w:r>
              <w:rPr>
                <w:rStyle w:val="VerbatimChar"/>
                <w:rFonts w:ascii="Arial" w:hAnsi="Arial"/>
                <w:sz w:val="20"/>
              </w:rPr>
              <w:t xml:space="preserve">MINIO_Vendor_Template_10192026.xlsx</w:t>
            </w:r>
            <w:r>
              <w:rPr>
                <w:rFonts w:ascii="Arial" w:hAnsi="Arial"/>
                <w:sz w:val="20"/>
              </w:rPr>
              <w:t xml:space="preserve"> </w:t>
            </w:r>
            <w:r>
              <w:rPr>
                <w:rFonts w:ascii="Arial" w:hAnsi="Arial"/>
                <w:sz w:val="20"/>
              </w:rPr>
              <w:t xml:space="preserve">from SOA: 61 columns, tabs Field Restrictions, Vendor Template, Vendor Category</w:t>
            </w:r>
          </w:p>
        </w:tc>
      </w:tr>
      <w:tr>
        <w:tc>
          <w:tcPr>
            <w:tcW w:type="dxa" w:w="2620"/>
            <w:shd w:val="clear" w:color="auto" w:fill="F2F4F7"/>
          </w:tcPr>
          <w:p>
            <w:pPr>
              <w:pStyle w:val="Compact"/>
              <w:spacing w:before="40" w:after="40"/>
              <w:jc w:val="left"/>
            </w:pPr>
            <w:r>
              <w:rPr>
                <w:bCs/>
                <w:rFonts w:ascii="Arial" w:hAnsi="Arial"/>
                <w:b/>
                <w:sz w:val="20"/>
              </w:rPr>
              <w:t xml:space="preserve">Required</w:t>
            </w:r>
          </w:p>
        </w:tc>
        <w:tc>
          <w:tcPr>
            <w:tcW w:type="dxa" w:w="6739"/>
          </w:tcPr>
          <w:p>
            <w:pPr>
              <w:pStyle w:val="Compact"/>
              <w:spacing w:before="40" w:after="40"/>
              <w:jc w:val="left"/>
            </w:pPr>
            <w:r>
              <w:rPr>
                <w:rFonts w:ascii="Arial" w:hAnsi="Arial"/>
                <w:sz w:val="20"/>
              </w:rPr>
              <w:t xml:space="preserve">Company Name (marked red). First and Last Name are required instead when the vendor is an individual</w:t>
            </w:r>
          </w:p>
        </w:tc>
      </w:tr>
      <w:tr>
        <w:tc>
          <w:tcPr>
            <w:tcW w:type="dxa" w:w="2620"/>
            <w:shd w:val="clear" w:color="auto" w:fill="F2F4F7"/>
          </w:tcPr>
          <w:p>
            <w:pPr>
              <w:pStyle w:val="Compact"/>
              <w:spacing w:before="40" w:after="40"/>
              <w:jc w:val="left"/>
            </w:pPr>
            <w:r>
              <w:rPr>
                <w:bCs/>
                <w:rFonts w:ascii="Arial" w:hAnsi="Arial"/>
                <w:b/>
                <w:sz w:val="20"/>
              </w:rPr>
              <w:t xml:space="preserve">Sources</w:t>
            </w:r>
          </w:p>
        </w:tc>
        <w:tc>
          <w:tcPr>
            <w:tcW w:type="dxa" w:w="6739"/>
          </w:tcPr>
          <w:p>
            <w:pPr>
              <w:pStyle w:val="Compact"/>
              <w:spacing w:before="40" w:after="40"/>
              <w:jc w:val="left"/>
            </w:pPr>
            <w:r>
              <w:rPr>
                <w:rFonts w:ascii="Arial" w:hAnsi="Arial"/>
                <w:sz w:val="20"/>
              </w:rPr>
              <w:t xml:space="preserve">Ramp vendor export, 578 vendors, synced to NetSuite by Ramp. Sage Intacct vendor detail export, 1,770 active vendors. 551 Ramp vendors carry the Sage vendor ID, so the link is exact</w:t>
            </w:r>
          </w:p>
        </w:tc>
      </w:tr>
      <w:tr>
        <w:tc>
          <w:tcPr>
            <w:tcW w:type="dxa" w:w="2620"/>
            <w:shd w:val="clear" w:color="auto" w:fill="F2F4F7"/>
          </w:tcPr>
          <w:p>
            <w:pPr>
              <w:pStyle w:val="Compact"/>
              <w:spacing w:before="40" w:after="40"/>
              <w:jc w:val="left"/>
            </w:pPr>
            <w:r>
              <w:rPr>
                <w:bCs/>
                <w:rFonts w:ascii="Arial" w:hAnsi="Arial"/>
                <w:b/>
                <w:sz w:val="20"/>
              </w:rPr>
              <w:t xml:space="preserve">Bank details</w:t>
            </w:r>
          </w:p>
        </w:tc>
        <w:tc>
          <w:tcPr>
            <w:tcW w:type="dxa" w:w="6739"/>
          </w:tcPr>
          <w:p>
            <w:pPr>
              <w:pStyle w:val="Compact"/>
              <w:spacing w:before="40" w:after="40"/>
              <w:jc w:val="left"/>
            </w:pPr>
            <w:r>
              <w:rPr>
                <w:rFonts w:ascii="Arial" w:hAnsi="Arial"/>
                <w:sz w:val="20"/>
              </w:rPr>
              <w:t xml:space="preserve">Not in the template: a separate import, Ramp’s details first, else Sage’s</w:t>
            </w:r>
          </w:p>
        </w:tc>
      </w:tr>
      <w:tr>
        <w:tc>
          <w:tcPr>
            <w:tcW w:type="dxa" w:w="2620"/>
            <w:shd w:val="clear" w:color="auto" w:fill="F2F4F7"/>
          </w:tcPr>
          <w:p>
            <w:pPr>
              <w:pStyle w:val="Compact"/>
              <w:spacing w:before="40" w:after="40"/>
              <w:jc w:val="left"/>
            </w:pPr>
            <w:r>
              <w:rPr>
                <w:bCs/>
                <w:rFonts w:ascii="Arial" w:hAnsi="Arial"/>
                <w:b/>
                <w:sz w:val="20"/>
              </w:rPr>
              <w:t xml:space="preserve">Vendor load document</w:t>
            </w:r>
          </w:p>
        </w:tc>
        <w:tc>
          <w:tcPr>
            <w:tcW w:type="dxa" w:w="6739"/>
          </w:tcPr>
          <w:p>
            <w:pPr>
              <w:pStyle w:val="Compact"/>
              <w:spacing w:before="40" w:after="40"/>
              <w:jc w:val="left"/>
            </w:pPr>
            <w:r>
              <w:rPr>
                <w:rFonts w:ascii="Arial" w:hAnsi="Arial"/>
                <w:sz w:val="20"/>
              </w:rPr>
              <w:t xml:space="preserve">The table of every vendor, with the breakdown, load plan, bank details and open questions in its Notes: https://claude.ai/artifact/43aBdfBgsyuiGNHAtGPSsw</w:t>
            </w:r>
          </w:p>
        </w:tc>
      </w:tr>
    </w:tbl>
    <w:bookmarkEnd w:id="20"/>
    <w:bookmarkStart w:id="22" w:name="column-mapping"/>
    <w:p>
      <w:pPr>
        <w:pStyle w:val="Heading1"/>
      </w:pPr>
      <w:r>
        <w:t xml:space="preserve">Column mapping</w:t>
      </w:r>
    </w:p>
    <w:p>
      <w:pPr>
        <w:pStyle w:val="FirstParagraph"/>
      </w:pPr>
      <w:r>
        <w:t xml:space="preserve">Same approach as the customer load: Sage first, Ramp fills gaps, rules marked as rules.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369"/>
        <w:gridCol w:w="2620"/>
        <w:gridCol w:w="3369"/>
      </w:tblGrid>
      <w:tr>
        <w:trPr>
          <w:tblHeader w:val="true"/>
        </w:trPr>
        <w:tc>
          <w:tcPr>
            <w:tcW w:type="dxa" w:w="3369"/>
            <w:shd w:val="clear" w:color="auto" w:fill="1F3B5C"/>
          </w:tcPr>
          <w:p>
            <w:pPr>
              <w:pStyle w:val="Compact"/>
              <w:spacing w:before="40" w:after="40"/>
              <w:jc w:val="left"/>
            </w:pPr>
            <w:r>
              <w:rPr>
                <w:bCs/>
                <w:rFonts w:ascii="Arial" w:hAnsi="Arial"/>
                <w:b/>
                <w:color w:val="FFFFFF"/>
                <w:sz w:val="20"/>
              </w:rPr>
              <w:t xml:space="preserve">Template column</w:t>
            </w:r>
          </w:p>
        </w:tc>
        <w:tc>
          <w:tcPr>
            <w:tcW w:type="dxa" w:w="2620"/>
            <w:shd w:val="clear" w:color="auto" w:fill="1F3B5C"/>
          </w:tcPr>
          <w:p>
            <w:pPr>
              <w:pStyle w:val="Compact"/>
              <w:spacing w:before="40" w:after="40"/>
              <w:jc w:val="left"/>
            </w:pPr>
            <w:r>
              <w:rPr>
                <w:bCs/>
                <w:rFonts w:ascii="Arial" w:hAnsi="Arial"/>
                <w:b/>
                <w:color w:val="FFFFFF"/>
                <w:sz w:val="20"/>
              </w:rPr>
              <w:t xml:space="preserve">Field</w:t>
            </w:r>
          </w:p>
        </w:tc>
        <w:tc>
          <w:tcPr>
            <w:tcW w:type="dxa" w:w="3369"/>
            <w:shd w:val="clear" w:color="auto" w:fill="1F3B5C"/>
          </w:tcPr>
          <w:p>
            <w:pPr>
              <w:pStyle w:val="Compact"/>
              <w:spacing w:before="40" w:after="40"/>
              <w:jc w:val="left"/>
            </w:pPr>
            <w:r>
              <w:rPr>
                <w:bCs/>
                <w:rFonts w:ascii="Arial" w:hAnsi="Arial"/>
                <w:b/>
                <w:color w:val="FFFFFF"/>
                <w:sz w:val="20"/>
              </w:rPr>
              <w:t xml:space="preserve">Source</w:t>
            </w:r>
          </w:p>
        </w:tc>
      </w:tr>
      <w:tr>
        <w:tc>
          <w:tcPr>
            <w:tcW w:type="dxa" w:w="3369"/>
          </w:tcPr>
          <w:p>
            <w:pPr>
              <w:pStyle w:val="Compact"/>
              <w:spacing w:before="40" w:after="40"/>
              <w:jc w:val="left"/>
            </w:pPr>
            <w:r>
              <w:rPr>
                <w:bCs/>
                <w:rFonts w:ascii="Arial" w:hAnsi="Arial"/>
                <w:b/>
                <w:sz w:val="20"/>
              </w:rPr>
              <w:t xml:space="preserve">ExternalID</w:t>
            </w:r>
          </w:p>
        </w:tc>
        <w:tc>
          <w:tcPr>
            <w:tcW w:type="dxa" w:w="2620"/>
          </w:tcPr>
          <w:p>
            <w:pPr>
              <w:pStyle w:val="Compact"/>
              <w:spacing w:before="40" w:after="40"/>
              <w:jc w:val="left"/>
            </w:pPr>
            <w:r>
              <w:rPr>
                <w:rFonts w:ascii="Arial" w:hAnsi="Arial"/>
                <w:sz w:val="20"/>
              </w:rPr>
              <w:t xml:space="preserve">externalId</w:t>
            </w:r>
          </w:p>
        </w:tc>
        <w:tc>
          <w:tcPr>
            <w:tcW w:type="dxa" w:w="3369"/>
          </w:tcPr>
          <w:p>
            <w:pPr>
              <w:pStyle w:val="Compact"/>
              <w:spacing w:before="40" w:after="40"/>
              <w:jc w:val="left"/>
            </w:pPr>
            <w:r>
              <w:rPr>
                <w:rFonts w:ascii="Arial" w:hAnsi="Arial"/>
                <w:sz w:val="20"/>
              </w:rPr>
              <w:t xml:space="preserve">Same as Vendor ID</w:t>
            </w:r>
          </w:p>
        </w:tc>
      </w:tr>
      <w:tr>
        <w:tc>
          <w:tcPr>
            <w:tcW w:type="dxa" w:w="3369"/>
          </w:tcPr>
          <w:p>
            <w:pPr>
              <w:pStyle w:val="Compact"/>
              <w:spacing w:before="40" w:after="40"/>
              <w:jc w:val="left"/>
            </w:pPr>
            <w:r>
              <w:rPr>
                <w:bCs/>
                <w:rFonts w:ascii="Arial" w:hAnsi="Arial"/>
                <w:b/>
                <w:sz w:val="20"/>
              </w:rPr>
              <w:t xml:space="preserve">Vendor ID</w:t>
            </w:r>
          </w:p>
        </w:tc>
        <w:tc>
          <w:tcPr>
            <w:tcW w:type="dxa" w:w="2620"/>
          </w:tcPr>
          <w:p>
            <w:pPr>
              <w:pStyle w:val="Compact"/>
              <w:spacing w:before="40" w:after="40"/>
              <w:jc w:val="left"/>
            </w:pPr>
            <w:r>
              <w:rPr>
                <w:rFonts w:ascii="Arial" w:hAnsi="Arial"/>
                <w:sz w:val="20"/>
              </w:rPr>
              <w:t xml:space="preserve">vendorId</w:t>
            </w:r>
          </w:p>
        </w:tc>
        <w:tc>
          <w:tcPr>
            <w:tcW w:type="dxa" w:w="3369"/>
          </w:tcPr>
          <w:p>
            <w:pPr>
              <w:pStyle w:val="Compact"/>
              <w:spacing w:before="40" w:after="40"/>
              <w:jc w:val="left"/>
            </w:pPr>
            <w:r>
              <w:rPr>
                <w:rFonts w:ascii="Arial" w:hAnsi="Arial"/>
                <w:sz w:val="20"/>
              </w:rPr>
              <w:t xml:space="preserve">Sage vendor ID. V-##### kept; older V##### (339) and Ramp-created RMP_# (37) get the next numbers after V-01768, from V-01769. NetSuite auto-numbers new vendors after the last loaded number</w:t>
            </w:r>
          </w:p>
        </w:tc>
      </w:tr>
      <w:tr>
        <w:tc>
          <w:tcPr>
            <w:tcW w:type="dxa" w:w="3369"/>
          </w:tcPr>
          <w:p>
            <w:pPr>
              <w:pStyle w:val="Compact"/>
              <w:spacing w:before="40" w:after="40"/>
              <w:jc w:val="left"/>
            </w:pPr>
            <w:r>
              <w:rPr>
                <w:bCs/>
                <w:rFonts w:ascii="Arial" w:hAnsi="Arial"/>
                <w:b/>
                <w:sz w:val="20"/>
              </w:rPr>
              <w:t xml:space="preserve">Individual</w:t>
            </w:r>
          </w:p>
        </w:tc>
        <w:tc>
          <w:tcPr>
            <w:tcW w:type="dxa" w:w="2620"/>
          </w:tcPr>
          <w:p>
            <w:pPr>
              <w:pStyle w:val="Compact"/>
              <w:spacing w:before="40" w:after="40"/>
              <w:jc w:val="left"/>
            </w:pPr>
            <w:r>
              <w:rPr>
                <w:rFonts w:ascii="Arial" w:hAnsi="Arial"/>
                <w:sz w:val="20"/>
              </w:rPr>
              <w:t xml:space="preserve">isPerson</w:t>
            </w:r>
          </w:p>
        </w:tc>
        <w:tc>
          <w:tcPr>
            <w:tcW w:type="dxa" w:w="3369"/>
          </w:tcPr>
          <w:p>
            <w:pPr>
              <w:pStyle w:val="Compact"/>
              <w:spacing w:before="40" w:after="40"/>
              <w:jc w:val="left"/>
            </w:pPr>
            <w:r>
              <w:rPr>
                <w:rFonts w:ascii="Arial" w:hAnsi="Arial"/>
                <w:sz w:val="20"/>
              </w:rPr>
              <w:t xml:space="preserve">Sage</w:t>
            </w:r>
            <w:r>
              <w:rPr>
                <w:rFonts w:ascii="Arial" w:hAnsi="Arial"/>
                <w:sz w:val="20"/>
              </w:rPr>
              <w:t xml:space="preserve"> </w:t>
            </w:r>
            <w:r>
              <w:rPr>
                <w:rFonts w:ascii="Arial" w:hAnsi="Arial"/>
                <w:sz w:val="20"/>
              </w:rPr>
              <w:t xml:space="preserve">“</w:t>
            </w:r>
            <w:r>
              <w:rPr>
                <w:rFonts w:ascii="Arial" w:hAnsi="Arial"/>
                <w:sz w:val="20"/>
              </w:rPr>
              <w:t xml:space="preserve">This vendor is an individual person</w:t>
            </w:r>
            <w:r>
              <w:rPr>
                <w:rFonts w:ascii="Arial" w:hAnsi="Arial"/>
                <w:sz w:val="20"/>
              </w:rPr>
              <w:t xml:space="preserve">”</w:t>
            </w:r>
            <w:r>
              <w:rPr>
                <w:rFonts w:ascii="Arial" w:hAnsi="Arial"/>
                <w:sz w:val="20"/>
              </w:rPr>
              <w:t xml:space="preserve"> </w:t>
            </w:r>
            <w:r>
              <w:rPr>
                <w:rFonts w:ascii="Arial" w:hAnsi="Arial"/>
                <w:sz w:val="20"/>
              </w:rPr>
              <w:t xml:space="preserve">(34 are)</w:t>
            </w:r>
          </w:p>
        </w:tc>
      </w:tr>
      <w:tr>
        <w:tc>
          <w:tcPr>
            <w:tcW w:type="dxa" w:w="3369"/>
          </w:tcPr>
          <w:p>
            <w:pPr>
              <w:pStyle w:val="Compact"/>
              <w:spacing w:before="40" w:after="40"/>
              <w:jc w:val="left"/>
            </w:pPr>
            <w:r>
              <w:rPr>
                <w:bCs/>
                <w:rFonts w:ascii="Arial" w:hAnsi="Arial"/>
                <w:b/>
                <w:sz w:val="20"/>
              </w:rPr>
              <w:t xml:space="preserve">First Name, Middle Name, Last Name</w:t>
            </w:r>
          </w:p>
        </w:tc>
        <w:tc>
          <w:tcPr>
            <w:tcW w:type="dxa" w:w="2620"/>
          </w:tcPr>
          <w:p>
            <w:pPr>
              <w:pStyle w:val="Compact"/>
              <w:spacing w:before="40" w:after="40"/>
              <w:jc w:val="left"/>
            </w:pPr>
            <w:r>
              <w:rPr>
                <w:rFonts w:ascii="Arial" w:hAnsi="Arial"/>
                <w:sz w:val="20"/>
              </w:rPr>
              <w:t xml:space="preserve">firstName, middleName, lastName</w:t>
            </w:r>
          </w:p>
        </w:tc>
        <w:tc>
          <w:tcPr>
            <w:tcW w:type="dxa" w:w="3369"/>
          </w:tcPr>
          <w:p>
            <w:pPr>
              <w:pStyle w:val="Compact"/>
              <w:spacing w:before="40" w:after="40"/>
              <w:jc w:val="left"/>
            </w:pPr>
            <w:r>
              <w:rPr>
                <w:rFonts w:ascii="Arial" w:hAnsi="Arial"/>
                <w:sz w:val="20"/>
              </w:rPr>
              <w:t xml:space="preserve">Sage contact name, individuals only</w:t>
            </w:r>
          </w:p>
        </w:tc>
      </w:tr>
      <w:tr>
        <w:tc>
          <w:tcPr>
            <w:tcW w:type="dxa" w:w="3369"/>
          </w:tcPr>
          <w:p>
            <w:pPr>
              <w:pStyle w:val="Compact"/>
              <w:spacing w:before="40" w:after="40"/>
              <w:jc w:val="left"/>
            </w:pPr>
            <w:r>
              <w:rPr>
                <w:bCs/>
                <w:rFonts w:ascii="Arial" w:hAnsi="Arial"/>
                <w:b/>
                <w:sz w:val="20"/>
              </w:rPr>
              <w:t xml:space="preserve">Company Name</w:t>
            </w:r>
          </w:p>
        </w:tc>
        <w:tc>
          <w:tcPr>
            <w:tcW w:type="dxa" w:w="2620"/>
          </w:tcPr>
          <w:p>
            <w:pPr>
              <w:pStyle w:val="Compact"/>
              <w:spacing w:before="40" w:after="40"/>
              <w:jc w:val="left"/>
            </w:pPr>
            <w:r>
              <w:rPr>
                <w:rFonts w:ascii="Arial" w:hAnsi="Arial"/>
                <w:sz w:val="20"/>
              </w:rPr>
              <w:t xml:space="preserve">companyName</w:t>
            </w:r>
          </w:p>
        </w:tc>
        <w:tc>
          <w:tcPr>
            <w:tcW w:type="dxa" w:w="3369"/>
          </w:tcPr>
          <w:p>
            <w:pPr>
              <w:pStyle w:val="Compact"/>
              <w:spacing w:before="40" w:after="40"/>
              <w:jc w:val="left"/>
            </w:pPr>
            <w:r>
              <w:rPr>
                <w:rFonts w:ascii="Arial" w:hAnsi="Arial"/>
                <w:sz w:val="20"/>
              </w:rPr>
              <w:t xml:space="preserve">Sage vendor name. Required</w:t>
            </w:r>
          </w:p>
        </w:tc>
      </w:tr>
      <w:tr>
        <w:tc>
          <w:tcPr>
            <w:tcW w:type="dxa" w:w="3369"/>
          </w:tcPr>
          <w:p>
            <w:pPr>
              <w:pStyle w:val="Compact"/>
              <w:spacing w:before="40" w:after="40"/>
              <w:jc w:val="left"/>
            </w:pPr>
            <w:r>
              <w:rPr>
                <w:bCs/>
                <w:rFonts w:ascii="Arial" w:hAnsi="Arial"/>
                <w:b/>
                <w:sz w:val="20"/>
              </w:rPr>
              <w:t xml:space="preserve">Vendor Category</w:t>
            </w:r>
          </w:p>
        </w:tc>
        <w:tc>
          <w:tcPr>
            <w:tcW w:type="dxa" w:w="2620"/>
          </w:tcPr>
          <w:p>
            <w:pPr>
              <w:pStyle w:val="Compact"/>
              <w:spacing w:before="40" w:after="40"/>
              <w:jc w:val="left"/>
            </w:pPr>
            <w:r>
              <w:rPr>
                <w:rFonts w:ascii="Arial" w:hAnsi="Arial"/>
                <w:sz w:val="20"/>
              </w:rPr>
              <w:t xml:space="preserve">category</w:t>
            </w:r>
          </w:p>
        </w:tc>
        <w:tc>
          <w:tcPr>
            <w:tcW w:type="dxa" w:w="3369"/>
          </w:tcPr>
          <w:p>
            <w:pPr>
              <w:pStyle w:val="Compact"/>
              <w:spacing w:before="40" w:after="40"/>
              <w:jc w:val="left"/>
            </w:pPr>
            <w:r>
              <w:rPr>
                <w:rFonts w:ascii="Arial" w:hAnsi="Arial"/>
                <w:sz w:val="20"/>
              </w:rPr>
              <w:t xml:space="preserve">Sage vendor type, mapped to the template list: AR reseller to AR Reseller, Tax to Tax agency, MinIO employee to MinIO Employee. 922 vendors have no type</w:t>
            </w:r>
          </w:p>
        </w:tc>
      </w:tr>
      <w:tr>
        <w:tc>
          <w:tcPr>
            <w:tcW w:type="dxa" w:w="3369"/>
          </w:tcPr>
          <w:p>
            <w:pPr>
              <w:pStyle w:val="Compact"/>
              <w:spacing w:before="40" w:after="40"/>
              <w:jc w:val="left"/>
            </w:pPr>
            <w:r>
              <w:rPr>
                <w:bCs/>
                <w:rFonts w:ascii="Arial" w:hAnsi="Arial"/>
                <w:b/>
                <w:sz w:val="20"/>
              </w:rPr>
              <w:t xml:space="preserve">Primary Subsidiary</w:t>
            </w:r>
          </w:p>
        </w:tc>
        <w:tc>
          <w:tcPr>
            <w:tcW w:type="dxa" w:w="2620"/>
          </w:tcPr>
          <w:p>
            <w:pPr>
              <w:pStyle w:val="Compact"/>
              <w:spacing w:before="40" w:after="40"/>
              <w:jc w:val="left"/>
            </w:pPr>
            <w:r>
              <w:rPr>
                <w:rFonts w:ascii="Arial" w:hAnsi="Arial"/>
                <w:sz w:val="20"/>
              </w:rPr>
              <w:t xml:space="preserve">subsidiary</w:t>
            </w:r>
          </w:p>
        </w:tc>
        <w:tc>
          <w:tcPr>
            <w:tcW w:type="dxa" w:w="3369"/>
          </w:tcPr>
          <w:p>
            <w:pPr>
              <w:pStyle w:val="Compact"/>
              <w:spacing w:before="40" w:after="40"/>
              <w:jc w:val="left"/>
            </w:pPr>
            <w:r>
              <w:rPr>
                <w:rFonts w:ascii="Arial" w:hAnsi="Arial"/>
                <w:sz w:val="20"/>
              </w:rPr>
              <w:t xml:space="preserve">MinIO, Inc. [TBC: 9 INR vendors and 1 SGD vendor may belong to MinIO Pvt. Ltd. or MinIO Singapore Pte. Ltd.; see open questions]</w:t>
            </w:r>
          </w:p>
        </w:tc>
      </w:tr>
      <w:tr>
        <w:tc>
          <w:tcPr>
            <w:tcW w:type="dxa" w:w="3369"/>
          </w:tcPr>
          <w:p>
            <w:pPr>
              <w:pStyle w:val="Compact"/>
              <w:spacing w:before="40" w:after="40"/>
              <w:jc w:val="left"/>
            </w:pPr>
            <w:r>
              <w:rPr>
                <w:bCs/>
                <w:rFonts w:ascii="Arial" w:hAnsi="Arial"/>
                <w:b/>
                <w:sz w:val="20"/>
              </w:rPr>
              <w:t xml:space="preserve">Phone, Fax</w:t>
            </w:r>
          </w:p>
        </w:tc>
        <w:tc>
          <w:tcPr>
            <w:tcW w:type="dxa" w:w="2620"/>
          </w:tcPr>
          <w:p>
            <w:pPr>
              <w:pStyle w:val="Compact"/>
              <w:spacing w:before="40" w:after="40"/>
              <w:jc w:val="left"/>
            </w:pPr>
            <w:r>
              <w:rPr>
                <w:rFonts w:ascii="Arial" w:hAnsi="Arial"/>
                <w:sz w:val="20"/>
              </w:rPr>
              <w:t xml:space="preserve">phone, fax</w:t>
            </w:r>
          </w:p>
        </w:tc>
        <w:tc>
          <w:tcPr>
            <w:tcW w:type="dxa" w:w="3369"/>
          </w:tcPr>
          <w:p>
            <w:pPr>
              <w:pStyle w:val="Compact"/>
              <w:spacing w:before="40" w:after="40"/>
              <w:jc w:val="left"/>
            </w:pPr>
            <w:r>
              <w:rPr>
                <w:rFonts w:ascii="Arial" w:hAnsi="Arial"/>
                <w:sz w:val="20"/>
              </w:rPr>
              <w:t xml:space="preserve">Sage, else Ramp contact phone</w:t>
            </w:r>
          </w:p>
        </w:tc>
      </w:tr>
      <w:tr>
        <w:tc>
          <w:tcPr>
            <w:tcW w:type="dxa" w:w="3369"/>
          </w:tcPr>
          <w:p>
            <w:pPr>
              <w:pStyle w:val="Compact"/>
              <w:spacing w:before="40" w:after="40"/>
              <w:jc w:val="left"/>
            </w:pPr>
            <w:r>
              <w:rPr>
                <w:bCs/>
                <w:rFonts w:ascii="Arial" w:hAnsi="Arial"/>
                <w:b/>
                <w:sz w:val="20"/>
              </w:rPr>
              <w:t xml:space="preserve">Email</w:t>
            </w:r>
          </w:p>
        </w:tc>
        <w:tc>
          <w:tcPr>
            <w:tcW w:type="dxa" w:w="2620"/>
          </w:tcPr>
          <w:p>
            <w:pPr>
              <w:pStyle w:val="Compact"/>
              <w:spacing w:before="40" w:after="40"/>
              <w:jc w:val="left"/>
            </w:pPr>
            <w:r>
              <w:rPr>
                <w:rFonts w:ascii="Arial" w:hAnsi="Arial"/>
                <w:sz w:val="20"/>
              </w:rPr>
              <w:t xml:space="preserve">email</w:t>
            </w:r>
          </w:p>
        </w:tc>
        <w:tc>
          <w:tcPr>
            <w:tcW w:type="dxa" w:w="3369"/>
          </w:tcPr>
          <w:p>
            <w:pPr>
              <w:pStyle w:val="Compact"/>
              <w:spacing w:before="40" w:after="40"/>
              <w:jc w:val="left"/>
            </w:pPr>
            <w:r>
              <w:rPr>
                <w:rFonts w:ascii="Arial" w:hAnsi="Arial"/>
                <w:sz w:val="20"/>
              </w:rPr>
              <w:t xml:space="preserve">Sage email, else Ramp contact email. Field holds 300 characters</w:t>
            </w:r>
          </w:p>
        </w:tc>
      </w:tr>
      <w:tr>
        <w:tc>
          <w:tcPr>
            <w:tcW w:type="dxa" w:w="3369"/>
          </w:tcPr>
          <w:p>
            <w:pPr>
              <w:pStyle w:val="Compact"/>
              <w:spacing w:before="40" w:after="40"/>
              <w:jc w:val="left"/>
            </w:pPr>
            <w:r>
              <w:rPr>
                <w:bCs/>
                <w:rFonts w:ascii="Arial" w:hAnsi="Arial"/>
                <w:b/>
                <w:sz w:val="20"/>
              </w:rPr>
              <w:t xml:space="preserve">Comments</w:t>
            </w:r>
          </w:p>
        </w:tc>
        <w:tc>
          <w:tcPr>
            <w:tcW w:type="dxa" w:w="2620"/>
          </w:tcPr>
          <w:p>
            <w:pPr>
              <w:pStyle w:val="Compact"/>
              <w:spacing w:before="40" w:after="40"/>
              <w:jc w:val="left"/>
            </w:pPr>
            <w:r>
              <w:rPr>
                <w:rFonts w:ascii="Arial" w:hAnsi="Arial"/>
                <w:sz w:val="20"/>
              </w:rPr>
              <w:t xml:space="preserve">comments</w:t>
            </w:r>
          </w:p>
        </w:tc>
        <w:tc>
          <w:tcPr>
            <w:tcW w:type="dxa" w:w="3369"/>
          </w:tcPr>
          <w:p>
            <w:pPr>
              <w:pStyle w:val="Compact"/>
              <w:spacing w:before="40" w:after="40"/>
              <w:jc w:val="left"/>
            </w:pPr>
            <w:r>
              <w:rPr>
                <w:rFonts w:ascii="Arial" w:hAnsi="Arial"/>
                <w:sz w:val="20"/>
              </w:rPr>
              <w:t xml:space="preserve">Sage comments</w:t>
            </w:r>
          </w:p>
        </w:tc>
      </w:tr>
      <w:tr>
        <w:tc>
          <w:tcPr>
            <w:tcW w:type="dxa" w:w="3369"/>
          </w:tcPr>
          <w:p>
            <w:pPr>
              <w:pStyle w:val="Compact"/>
              <w:spacing w:before="40" w:after="40"/>
              <w:jc w:val="left"/>
            </w:pPr>
            <w:r>
              <w:rPr>
                <w:bCs/>
                <w:rFonts w:ascii="Arial" w:hAnsi="Arial"/>
                <w:b/>
                <w:sz w:val="20"/>
              </w:rPr>
              <w:t xml:space="preserve">Email Preference, Send Transaction Via Email / Fax / Print</w:t>
            </w:r>
          </w:p>
        </w:tc>
        <w:tc>
          <w:tcPr>
            <w:tcW w:type="dxa" w:w="2620"/>
          </w:tcPr>
          <w:p>
            <w:pPr>
              <w:pStyle w:val="Compact"/>
              <w:spacing w:before="40" w:after="40"/>
              <w:jc w:val="left"/>
            </w:pPr>
            <w:r>
              <w:rPr>
                <w:rFonts w:ascii="Arial" w:hAnsi="Arial"/>
                <w:sz w:val="20"/>
              </w:rPr>
              <w:t xml:space="preserve">emailpreference, emailTransactions, faxTransactions, printTransactions</w:t>
            </w:r>
          </w:p>
        </w:tc>
        <w:tc>
          <w:tcPr>
            <w:tcW w:type="dxa" w:w="3369"/>
          </w:tcPr>
          <w:p>
            <w:pPr>
              <w:pStyle w:val="Compact"/>
              <w:spacing w:before="40" w:after="40"/>
              <w:jc w:val="left"/>
            </w:pPr>
            <w:r>
              <w:rPr>
                <w:rFonts w:ascii="Arial" w:hAnsi="Arial"/>
                <w:sz w:val="20"/>
              </w:rPr>
              <w:t xml:space="preserve">Blank, NetSuite defaults</w:t>
            </w:r>
          </w:p>
        </w:tc>
      </w:tr>
      <w:tr>
        <w:tc>
          <w:tcPr>
            <w:tcW w:type="dxa" w:w="3369"/>
          </w:tcPr>
          <w:p>
            <w:pPr>
              <w:pStyle w:val="Compact"/>
              <w:spacing w:before="40" w:after="40"/>
              <w:jc w:val="left"/>
            </w:pPr>
            <w:r>
              <w:rPr>
                <w:bCs/>
                <w:rFonts w:ascii="Arial" w:hAnsi="Arial"/>
                <w:b/>
                <w:sz w:val="20"/>
              </w:rPr>
              <w:t xml:space="preserve">Address 1 (Label, Attention, Addressee, Phone, Address 1 and 2, City, State, Zip, Country, Default Shipping, Default Billing)</w:t>
            </w:r>
          </w:p>
        </w:tc>
        <w:tc>
          <w:tcPr>
            <w:tcW w:type="dxa" w:w="2620"/>
          </w:tcPr>
          <w:p>
            <w:pPr>
              <w:pStyle w:val="Compact"/>
              <w:spacing w:before="40" w:after="40"/>
              <w:jc w:val="left"/>
            </w:pPr>
            <w:r>
              <w:rPr>
                <w:rFonts w:ascii="Arial" w:hAnsi="Arial"/>
                <w:sz w:val="20"/>
              </w:rPr>
              <w:t xml:space="preserve">address1_*</w:t>
            </w:r>
          </w:p>
        </w:tc>
        <w:tc>
          <w:tcPr>
            <w:tcW w:type="dxa" w:w="3369"/>
          </w:tcPr>
          <w:p>
            <w:pPr>
              <w:pStyle w:val="Compact"/>
              <w:spacing w:before="40" w:after="40"/>
              <w:jc w:val="left"/>
            </w:pPr>
            <w:r>
              <w:rPr>
                <w:rFonts w:ascii="Arial" w:hAnsi="Arial"/>
                <w:sz w:val="20"/>
              </w:rPr>
              <w:t xml:space="preserve">Sage pay-to address, else primary contact address, else Ramp check mailing address. Label</w:t>
            </w:r>
            <w:r>
              <w:rPr>
                <w:rFonts w:ascii="Arial" w:hAnsi="Arial"/>
                <w:sz w:val="20"/>
              </w:rPr>
              <w:t xml:space="preserve"> </w:t>
            </w:r>
            <w:r>
              <w:rPr>
                <w:rFonts w:ascii="Arial" w:hAnsi="Arial"/>
                <w:sz w:val="20"/>
              </w:rPr>
              <w:t xml:space="preserve">“</w:t>
            </w:r>
            <w:r>
              <w:rPr>
                <w:rFonts w:ascii="Arial" w:hAnsi="Arial"/>
                <w:sz w:val="20"/>
              </w:rPr>
              <w:t xml:space="preserve">Remit-to</w:t>
            </w:r>
            <w:r>
              <w:rPr>
                <w:rFonts w:ascii="Arial" w:hAnsi="Arial"/>
                <w:sz w:val="20"/>
              </w:rPr>
              <w:t xml:space="preserve">”</w:t>
            </w:r>
            <w:r>
              <w:rPr>
                <w:rFonts w:ascii="Arial" w:hAnsi="Arial"/>
                <w:sz w:val="20"/>
              </w:rPr>
              <w:t xml:space="preserve">, Default Billing TRUE</w:t>
            </w:r>
          </w:p>
        </w:tc>
      </w:tr>
      <w:tr>
        <w:tc>
          <w:tcPr>
            <w:tcW w:type="dxa" w:w="3369"/>
          </w:tcPr>
          <w:p>
            <w:pPr>
              <w:pStyle w:val="Compact"/>
              <w:spacing w:before="40" w:after="40"/>
              <w:jc w:val="left"/>
            </w:pPr>
            <w:r>
              <w:rPr>
                <w:bCs/>
                <w:rFonts w:ascii="Arial" w:hAnsi="Arial"/>
                <w:b/>
                <w:sz w:val="20"/>
              </w:rPr>
              <w:t xml:space="preserve">Address 2 (same fields)</w:t>
            </w:r>
          </w:p>
        </w:tc>
        <w:tc>
          <w:tcPr>
            <w:tcW w:type="dxa" w:w="2620"/>
          </w:tcPr>
          <w:p>
            <w:pPr>
              <w:pStyle w:val="Compact"/>
              <w:spacing w:before="40" w:after="40"/>
              <w:jc w:val="left"/>
            </w:pPr>
            <w:r>
              <w:rPr>
                <w:rFonts w:ascii="Arial" w:hAnsi="Arial"/>
                <w:sz w:val="20"/>
              </w:rPr>
              <w:t xml:space="preserve">address2_*</w:t>
            </w:r>
          </w:p>
        </w:tc>
        <w:tc>
          <w:tcPr>
            <w:tcW w:type="dxa" w:w="3369"/>
          </w:tcPr>
          <w:p>
            <w:pPr>
              <w:pStyle w:val="Compact"/>
              <w:spacing w:before="40" w:after="40"/>
              <w:jc w:val="left"/>
            </w:pPr>
            <w:r>
              <w:rPr>
                <w:rFonts w:ascii="Arial" w:hAnsi="Arial"/>
                <w:sz w:val="20"/>
              </w:rPr>
              <w:t xml:space="preserve">Sage return-to address where different from address 1. Label</w:t>
            </w:r>
            <w:r>
              <w:rPr>
                <w:rFonts w:ascii="Arial" w:hAnsi="Arial"/>
                <w:sz w:val="20"/>
              </w:rPr>
              <w:t xml:space="preserve"> </w:t>
            </w:r>
            <w:r>
              <w:rPr>
                <w:rFonts w:ascii="Arial" w:hAnsi="Arial"/>
                <w:sz w:val="20"/>
              </w:rPr>
              <w:t xml:space="preserve">“</w:t>
            </w:r>
            <w:r>
              <w:rPr>
                <w:rFonts w:ascii="Arial" w:hAnsi="Arial"/>
                <w:sz w:val="20"/>
              </w:rPr>
              <w:t xml:space="preserve">Return-to</w:t>
            </w:r>
            <w:r>
              <w:rPr>
                <w:rFonts w:ascii="Arial" w:hAnsi="Arial"/>
                <w:sz w:val="20"/>
              </w:rPr>
              <w:t xml:space="preserve">”</w:t>
            </w:r>
            <w:r>
              <w:rPr>
                <w:rFonts w:ascii="Arial" w:hAnsi="Arial"/>
                <w:sz w:val="20"/>
              </w:rPr>
              <w:t xml:space="preserve">, Default Shipping TRUE</w:t>
            </w:r>
          </w:p>
        </w:tc>
      </w:tr>
      <w:tr>
        <w:tc>
          <w:tcPr>
            <w:tcW w:type="dxa" w:w="3369"/>
          </w:tcPr>
          <w:p>
            <w:pPr>
              <w:pStyle w:val="Compact"/>
              <w:spacing w:before="40" w:after="40"/>
              <w:jc w:val="left"/>
            </w:pPr>
            <w:r>
              <w:rPr>
                <w:bCs/>
                <w:rFonts w:ascii="Arial" w:hAnsi="Arial"/>
                <w:b/>
                <w:sz w:val="20"/>
              </w:rPr>
              <w:t xml:space="preserve">Legal Name</w:t>
            </w:r>
          </w:p>
        </w:tc>
        <w:tc>
          <w:tcPr>
            <w:tcW w:type="dxa" w:w="2620"/>
          </w:tcPr>
          <w:p>
            <w:pPr>
              <w:pStyle w:val="Compact"/>
              <w:spacing w:before="40" w:after="40"/>
              <w:jc w:val="left"/>
            </w:pPr>
            <w:r>
              <w:rPr>
                <w:rFonts w:ascii="Arial" w:hAnsi="Arial"/>
                <w:sz w:val="20"/>
              </w:rPr>
              <w:t xml:space="preserve">legalName</w:t>
            </w:r>
          </w:p>
        </w:tc>
        <w:tc>
          <w:tcPr>
            <w:tcW w:type="dxa" w:w="3369"/>
          </w:tcPr>
          <w:p>
            <w:pPr>
              <w:pStyle w:val="Compact"/>
              <w:spacing w:before="40" w:after="40"/>
              <w:jc w:val="left"/>
            </w:pPr>
            <w:r>
              <w:rPr>
                <w:rFonts w:ascii="Arial" w:hAnsi="Arial"/>
                <w:sz w:val="20"/>
              </w:rPr>
              <w:t xml:space="preserve">Ramp vendor legal name (149), else Sage 1099 name</w:t>
            </w:r>
          </w:p>
        </w:tc>
      </w:tr>
      <w:tr>
        <w:tc>
          <w:tcPr>
            <w:tcW w:type="dxa" w:w="3369"/>
          </w:tcPr>
          <w:p>
            <w:pPr>
              <w:pStyle w:val="Compact"/>
              <w:spacing w:before="40" w:after="40"/>
              <w:jc w:val="left"/>
            </w:pPr>
            <w:r>
              <w:rPr>
                <w:bCs/>
                <w:rFonts w:ascii="Arial" w:hAnsi="Arial"/>
                <w:b/>
                <w:sz w:val="20"/>
              </w:rPr>
              <w:t xml:space="preserve">Account</w:t>
            </w:r>
          </w:p>
        </w:tc>
        <w:tc>
          <w:tcPr>
            <w:tcW w:type="dxa" w:w="2620"/>
          </w:tcPr>
          <w:p>
            <w:pPr>
              <w:pStyle w:val="Compact"/>
              <w:spacing w:before="40" w:after="40"/>
              <w:jc w:val="left"/>
            </w:pPr>
            <w:r>
              <w:rPr>
                <w:rFonts w:ascii="Arial" w:hAnsi="Arial"/>
                <w:sz w:val="20"/>
              </w:rPr>
              <w:t xml:space="preserve">accountNumber</w:t>
            </w:r>
          </w:p>
        </w:tc>
        <w:tc>
          <w:tcPr>
            <w:tcW w:type="dxa" w:w="3369"/>
          </w:tcPr>
          <w:p>
            <w:pPr>
              <w:pStyle w:val="Compact"/>
              <w:spacing w:before="40" w:after="40"/>
              <w:jc w:val="left"/>
            </w:pPr>
            <w:r>
              <w:rPr>
                <w:rFonts w:ascii="Arial" w:hAnsi="Arial"/>
                <w:sz w:val="20"/>
              </w:rPr>
              <w:t xml:space="preserve">Sage</w:t>
            </w:r>
            <w:r>
              <w:rPr>
                <w:rFonts w:ascii="Arial" w:hAnsi="Arial"/>
                <w:sz w:val="20"/>
              </w:rPr>
              <w:t xml:space="preserve"> </w:t>
            </w:r>
            <w:r>
              <w:rPr>
                <w:rFonts w:ascii="Arial" w:hAnsi="Arial"/>
                <w:sz w:val="20"/>
              </w:rPr>
              <w:t xml:space="preserve">“</w:t>
            </w:r>
            <w:r>
              <w:rPr>
                <w:rFonts w:ascii="Arial" w:hAnsi="Arial"/>
                <w:sz w:val="20"/>
              </w:rPr>
              <w:t xml:space="preserve">Number</w:t>
            </w:r>
            <w:r>
              <w:rPr>
                <w:rFonts w:ascii="Arial" w:hAnsi="Arial"/>
                <w:sz w:val="20"/>
              </w:rPr>
              <w:t xml:space="preserve">”</w:t>
            </w:r>
            <w:r>
              <w:rPr>
                <w:rFonts w:ascii="Arial" w:hAnsi="Arial"/>
                <w:sz w:val="20"/>
              </w:rPr>
              <w:t xml:space="preserve">: the account number the vendor assigned to MinIO (26 vendors)</w:t>
            </w:r>
          </w:p>
        </w:tc>
      </w:tr>
      <w:tr>
        <w:tc>
          <w:tcPr>
            <w:tcW w:type="dxa" w:w="3369"/>
          </w:tcPr>
          <w:p>
            <w:pPr>
              <w:pStyle w:val="Compact"/>
              <w:spacing w:before="40" w:after="40"/>
              <w:jc w:val="left"/>
            </w:pPr>
            <w:r>
              <w:rPr>
                <w:bCs/>
                <w:rFonts w:ascii="Arial" w:hAnsi="Arial"/>
                <w:b/>
                <w:sz w:val="20"/>
              </w:rPr>
              <w:t xml:space="preserve">Terms</w:t>
            </w:r>
          </w:p>
        </w:tc>
        <w:tc>
          <w:tcPr>
            <w:tcW w:type="dxa" w:w="2620"/>
          </w:tcPr>
          <w:p>
            <w:pPr>
              <w:pStyle w:val="Compact"/>
              <w:spacing w:before="40" w:after="40"/>
              <w:jc w:val="left"/>
            </w:pPr>
            <w:r>
              <w:rPr>
                <w:rFonts w:ascii="Arial" w:hAnsi="Arial"/>
                <w:sz w:val="20"/>
              </w:rPr>
              <w:t xml:space="preserve">terms</w:t>
            </w:r>
          </w:p>
        </w:tc>
        <w:tc>
          <w:tcPr>
            <w:tcW w:type="dxa" w:w="3369"/>
          </w:tcPr>
          <w:p>
            <w:pPr>
              <w:pStyle w:val="Compact"/>
              <w:spacing w:before="40" w:after="40"/>
              <w:jc w:val="left"/>
            </w:pPr>
            <w:r>
              <w:rPr>
                <w:rFonts w:ascii="Arial" w:hAnsi="Arial"/>
                <w:sz w:val="20"/>
              </w:rPr>
              <w:t xml:space="preserve">Sage term, else Ramp net terms, mapped to the NetSuite list (Due on Receipt, Net 10, Net 15, Net 30, Net 45, Net 60, Net 150). 132 vendors have terms in Sage</w:t>
            </w:r>
          </w:p>
        </w:tc>
      </w:tr>
      <w:tr>
        <w:tc>
          <w:tcPr>
            <w:tcW w:type="dxa" w:w="3369"/>
          </w:tcPr>
          <w:p>
            <w:pPr>
              <w:pStyle w:val="Compact"/>
              <w:spacing w:before="40" w:after="40"/>
              <w:jc w:val="left"/>
            </w:pPr>
            <w:r>
              <w:rPr>
                <w:bCs/>
                <w:rFonts w:ascii="Arial" w:hAnsi="Arial"/>
                <w:b/>
                <w:sz w:val="20"/>
              </w:rPr>
              <w:t xml:space="preserve">Default Expense Account</w:t>
            </w:r>
          </w:p>
        </w:tc>
        <w:tc>
          <w:tcPr>
            <w:tcW w:type="dxa" w:w="2620"/>
          </w:tcPr>
          <w:p>
            <w:pPr>
              <w:pStyle w:val="Compact"/>
              <w:spacing w:before="40" w:after="40"/>
              <w:jc w:val="left"/>
            </w:pPr>
            <w:r>
              <w:rPr>
                <w:rFonts w:ascii="Arial" w:hAnsi="Arial"/>
                <w:sz w:val="20"/>
              </w:rPr>
              <w:t xml:space="preserve">defaultExpenseAccount</w:t>
            </w:r>
          </w:p>
        </w:tc>
        <w:tc>
          <w:tcPr>
            <w:tcW w:type="dxa" w:w="3369"/>
          </w:tcPr>
          <w:p>
            <w:pPr>
              <w:pStyle w:val="Compact"/>
              <w:spacing w:before="40" w:after="40"/>
              <w:jc w:val="left"/>
            </w:pPr>
            <w:r>
              <w:rPr>
                <w:rFonts w:ascii="Arial" w:hAnsi="Arial"/>
                <w:sz w:val="20"/>
              </w:rPr>
              <w:t xml:space="preserve">Sage default expense account, mapped through the Sage# column of COA Draft v1 (for example Sage 62000 to 62600 Consultants). Set on 109 vendors; 2 Sage accounts have no mapping</w:t>
            </w:r>
          </w:p>
        </w:tc>
      </w:tr>
      <w:tr>
        <w:tc>
          <w:tcPr>
            <w:tcW w:type="dxa" w:w="3369"/>
          </w:tcPr>
          <w:p>
            <w:pPr>
              <w:pStyle w:val="Compact"/>
              <w:spacing w:before="40" w:after="40"/>
              <w:jc w:val="left"/>
            </w:pPr>
            <w:r>
              <w:rPr>
                <w:bCs/>
                <w:rFonts w:ascii="Arial" w:hAnsi="Arial"/>
                <w:b/>
                <w:sz w:val="20"/>
              </w:rPr>
              <w:t xml:space="preserve">Default Payables Account</w:t>
            </w:r>
          </w:p>
        </w:tc>
        <w:tc>
          <w:tcPr>
            <w:tcW w:type="dxa" w:w="2620"/>
          </w:tcPr>
          <w:p>
            <w:pPr>
              <w:pStyle w:val="Compact"/>
              <w:spacing w:before="40" w:after="40"/>
              <w:jc w:val="left"/>
            </w:pPr>
            <w:r>
              <w:rPr>
                <w:rFonts w:ascii="Arial" w:hAnsi="Arial"/>
                <w:sz w:val="20"/>
              </w:rPr>
              <w:t xml:space="preserve">defaultPayablesAccount</w:t>
            </w:r>
          </w:p>
        </w:tc>
        <w:tc>
          <w:tcPr>
            <w:tcW w:type="dxa" w:w="3369"/>
          </w:tcPr>
          <w:p>
            <w:pPr>
              <w:pStyle w:val="Compact"/>
              <w:spacing w:before="40" w:after="40"/>
              <w:jc w:val="left"/>
            </w:pPr>
            <w:r>
              <w:rPr>
                <w:rFonts w:ascii="Arial" w:hAnsi="Arial"/>
                <w:sz w:val="20"/>
              </w:rPr>
              <w:t xml:space="preserve">20100 Accounts Payable - Trade</w:t>
            </w:r>
          </w:p>
        </w:tc>
      </w:tr>
      <w:tr>
        <w:tc>
          <w:tcPr>
            <w:tcW w:type="dxa" w:w="3369"/>
          </w:tcPr>
          <w:p>
            <w:pPr>
              <w:pStyle w:val="Compact"/>
              <w:spacing w:before="40" w:after="40"/>
              <w:jc w:val="left"/>
            </w:pPr>
            <w:r>
              <w:rPr>
                <w:bCs/>
                <w:rFonts w:ascii="Arial" w:hAnsi="Arial"/>
                <w:b/>
                <w:sz w:val="20"/>
              </w:rPr>
              <w:t xml:space="preserve">Credit Limit, Incoterm</w:t>
            </w:r>
          </w:p>
        </w:tc>
        <w:tc>
          <w:tcPr>
            <w:tcW w:type="dxa" w:w="2620"/>
          </w:tcPr>
          <w:p>
            <w:pPr>
              <w:pStyle w:val="Compact"/>
              <w:spacing w:before="40" w:after="40"/>
              <w:jc w:val="left"/>
            </w:pPr>
            <w:r>
              <w:rPr>
                <w:rFonts w:ascii="Arial" w:hAnsi="Arial"/>
                <w:sz w:val="20"/>
              </w:rPr>
              <w:t xml:space="preserve">creditLimit, incoterm</w:t>
            </w:r>
          </w:p>
        </w:tc>
        <w:tc>
          <w:tcPr>
            <w:tcW w:type="dxa" w:w="3369"/>
          </w:tcPr>
          <w:p>
            <w:pPr>
              <w:pStyle w:val="Compact"/>
              <w:spacing w:before="40" w:after="40"/>
              <w:jc w:val="left"/>
            </w:pPr>
            <w:r>
              <w:rPr>
                <w:rFonts w:ascii="Arial" w:hAnsi="Arial"/>
                <w:sz w:val="20"/>
              </w:rPr>
              <w:t xml:space="preserve">Blank. Sage has none</w:t>
            </w:r>
          </w:p>
        </w:tc>
      </w:tr>
      <w:tr>
        <w:tc>
          <w:tcPr>
            <w:tcW w:type="dxa" w:w="3369"/>
          </w:tcPr>
          <w:p>
            <w:pPr>
              <w:pStyle w:val="Compact"/>
              <w:spacing w:before="40" w:after="40"/>
              <w:jc w:val="left"/>
            </w:pPr>
            <w:r>
              <w:rPr>
                <w:bCs/>
                <w:rFonts w:ascii="Arial" w:hAnsi="Arial"/>
                <w:b/>
                <w:sz w:val="20"/>
              </w:rPr>
              <w:t xml:space="preserve">Tax ID</w:t>
            </w:r>
          </w:p>
        </w:tc>
        <w:tc>
          <w:tcPr>
            <w:tcW w:type="dxa" w:w="2620"/>
          </w:tcPr>
          <w:p>
            <w:pPr>
              <w:pStyle w:val="Compact"/>
              <w:spacing w:before="40" w:after="40"/>
              <w:jc w:val="left"/>
            </w:pPr>
            <w:r>
              <w:rPr>
                <w:rFonts w:ascii="Arial" w:hAnsi="Arial"/>
                <w:sz w:val="20"/>
              </w:rPr>
              <w:t xml:space="preserve">taxIdNum</w:t>
            </w:r>
          </w:p>
        </w:tc>
        <w:tc>
          <w:tcPr>
            <w:tcW w:type="dxa" w:w="3369"/>
          </w:tcPr>
          <w:p>
            <w:pPr>
              <w:pStyle w:val="Compact"/>
              <w:spacing w:before="40" w:after="40"/>
              <w:jc w:val="left"/>
            </w:pPr>
            <w:r>
              <w:rPr>
                <w:rFonts w:ascii="Arial" w:hAnsi="Arial"/>
                <w:sz w:val="20"/>
              </w:rPr>
              <w:t xml:space="preserve">Sage tax ID (232), else Ramp TIN (140). In the load file; masked to the last 4 digits on review pages</w:t>
            </w:r>
          </w:p>
        </w:tc>
      </w:tr>
      <w:tr>
        <w:tc>
          <w:tcPr>
            <w:tcW w:type="dxa" w:w="3369"/>
          </w:tcPr>
          <w:p>
            <w:pPr>
              <w:pStyle w:val="Compact"/>
              <w:spacing w:before="40" w:after="40"/>
              <w:jc w:val="left"/>
            </w:pPr>
            <w:r>
              <w:rPr>
                <w:bCs/>
                <w:rFonts w:ascii="Arial" w:hAnsi="Arial"/>
                <w:b/>
                <w:sz w:val="20"/>
              </w:rPr>
              <w:t xml:space="preserve">1099 Eligible</w:t>
            </w:r>
          </w:p>
        </w:tc>
        <w:tc>
          <w:tcPr>
            <w:tcW w:type="dxa" w:w="2620"/>
          </w:tcPr>
          <w:p>
            <w:pPr>
              <w:pStyle w:val="Compact"/>
              <w:spacing w:before="40" w:after="40"/>
              <w:jc w:val="left"/>
            </w:pPr>
            <w:r>
              <w:rPr>
                <w:rFonts w:ascii="Arial" w:hAnsi="Arial"/>
                <w:sz w:val="20"/>
              </w:rPr>
              <w:t xml:space="preserve">is1099Eligible</w:t>
            </w:r>
          </w:p>
        </w:tc>
        <w:tc>
          <w:tcPr>
            <w:tcW w:type="dxa" w:w="3369"/>
          </w:tcPr>
          <w:p>
            <w:pPr>
              <w:pStyle w:val="Compact"/>
              <w:spacing w:before="40" w:after="40"/>
              <w:jc w:val="left"/>
            </w:pPr>
            <w:r>
              <w:rPr>
                <w:rFonts w:ascii="Arial" w:hAnsi="Arial"/>
                <w:sz w:val="20"/>
              </w:rPr>
              <w:t xml:space="preserve">TRUE when Sage has a Form 1099 type (21) or the vendor type is 1099 Vendor (88)</w:t>
            </w:r>
          </w:p>
        </w:tc>
      </w:tr>
      <w:tr>
        <w:tc>
          <w:tcPr>
            <w:tcW w:type="dxa" w:w="3369"/>
          </w:tcPr>
          <w:p>
            <w:pPr>
              <w:pStyle w:val="Compact"/>
              <w:spacing w:before="40" w:after="40"/>
              <w:jc w:val="left"/>
            </w:pPr>
            <w:r>
              <w:rPr>
                <w:bCs/>
                <w:rFonts w:ascii="Arial" w:hAnsi="Arial"/>
                <w:b/>
                <w:sz w:val="20"/>
              </w:rPr>
              <w:t xml:space="preserve">Vendor Bill tolerances (6 columns)</w:t>
            </w:r>
          </w:p>
        </w:tc>
        <w:tc>
          <w:tcPr>
            <w:tcW w:type="dxa" w:w="2620"/>
          </w:tcPr>
          <w:p>
            <w:pPr>
              <w:pStyle w:val="Compact"/>
              <w:spacing w:before="40" w:after="40"/>
              <w:jc w:val="left"/>
            </w:pPr>
            <w:r>
              <w:rPr>
                <w:rFonts w:ascii="Arial" w:hAnsi="Arial"/>
                <w:sz w:val="20"/>
              </w:rPr>
              <w:t xml:space="preserve">purchaseorder</w:t>
            </w:r>
            <w:r>
              <w:rPr>
                <w:iCs/>
                <w:rFonts w:ascii="Arial" w:hAnsi="Arial"/>
                <w:i/>
                <w:sz w:val="20"/>
              </w:rPr>
              <w:t xml:space="preserve">, receipt</w:t>
            </w:r>
          </w:p>
        </w:tc>
        <w:tc>
          <w:tcPr>
            <w:tcW w:type="dxa" w:w="3369"/>
          </w:tcPr>
          <w:p>
            <w:pPr>
              <w:pStyle w:val="Compact"/>
              <w:spacing w:before="40" w:after="40"/>
              <w:jc w:val="left"/>
            </w:pPr>
            <w:r>
              <w:rPr>
                <w:rFonts w:ascii="Arial" w:hAnsi="Arial"/>
                <w:sz w:val="20"/>
              </w:rPr>
              <w:t xml:space="preserve">Blank. MinIO does not use purchase orders or item receipts</w:t>
            </w:r>
          </w:p>
        </w:tc>
      </w:tr>
      <w:tr>
        <w:tc>
          <w:tcPr>
            <w:tcW w:type="dxa" w:w="3369"/>
          </w:tcPr>
          <w:p>
            <w:pPr>
              <w:pStyle w:val="Compact"/>
              <w:spacing w:before="40" w:after="40"/>
              <w:jc w:val="left"/>
            </w:pPr>
            <w:r>
              <w:rPr>
                <w:bCs/>
                <w:rFonts w:ascii="Arial" w:hAnsi="Arial"/>
                <w:b/>
                <w:sz w:val="20"/>
              </w:rPr>
              <w:t xml:space="preserve">Primary Currency</w:t>
            </w:r>
          </w:p>
        </w:tc>
        <w:tc>
          <w:tcPr>
            <w:tcW w:type="dxa" w:w="2620"/>
          </w:tcPr>
          <w:p>
            <w:pPr>
              <w:pStyle w:val="Compact"/>
              <w:spacing w:before="40" w:after="40"/>
              <w:jc w:val="left"/>
            </w:pPr>
            <w:r>
              <w:rPr>
                <w:rFonts w:ascii="Arial" w:hAnsi="Arial"/>
                <w:sz w:val="20"/>
              </w:rPr>
              <w:t xml:space="preserve">currency</w:t>
            </w:r>
          </w:p>
        </w:tc>
        <w:tc>
          <w:tcPr>
            <w:tcW w:type="dxa" w:w="3369"/>
          </w:tcPr>
          <w:p>
            <w:pPr>
              <w:pStyle w:val="Compact"/>
              <w:spacing w:before="40" w:after="40"/>
              <w:jc w:val="left"/>
            </w:pPr>
            <w:r>
              <w:rPr>
                <w:rFonts w:ascii="Arial" w:hAnsi="Arial"/>
                <w:sz w:val="20"/>
              </w:rPr>
              <w:t xml:space="preserve">Sage default currency, else USD</w:t>
            </w:r>
          </w:p>
        </w:tc>
      </w:tr>
      <w:tr>
        <w:tc>
          <w:tcPr>
            <w:tcW w:type="dxa" w:w="3369"/>
          </w:tcPr>
          <w:p>
            <w:pPr>
              <w:pStyle w:val="Compact"/>
              <w:spacing w:before="40" w:after="40"/>
              <w:jc w:val="left"/>
            </w:pPr>
            <w:r>
              <w:rPr>
                <w:bCs/>
                <w:rFonts w:ascii="Arial" w:hAnsi="Arial"/>
                <w:b/>
                <w:sz w:val="20"/>
              </w:rPr>
              <w:t xml:space="preserve">Additional Currency 1, 2</w:t>
            </w:r>
          </w:p>
        </w:tc>
        <w:tc>
          <w:tcPr>
            <w:tcW w:type="dxa" w:w="2620"/>
          </w:tcPr>
          <w:p>
            <w:pPr>
              <w:pStyle w:val="Compact"/>
              <w:spacing w:before="40" w:after="40"/>
              <w:jc w:val="left"/>
            </w:pPr>
            <w:r>
              <w:rPr>
                <w:rFonts w:ascii="Arial" w:hAnsi="Arial"/>
                <w:sz w:val="20"/>
              </w:rPr>
              <w:t xml:space="preserve">additionalCurrency1, 2</w:t>
            </w:r>
          </w:p>
        </w:tc>
        <w:tc>
          <w:tcPr>
            <w:tcW w:type="dxa" w:w="3369"/>
          </w:tcPr>
          <w:p>
            <w:pPr>
              <w:pStyle w:val="Compact"/>
              <w:spacing w:before="40" w:after="40"/>
              <w:jc w:val="left"/>
            </w:pPr>
            <w:r>
              <w:rPr>
                <w:rFonts w:ascii="Arial" w:hAnsi="Arial"/>
                <w:sz w:val="20"/>
              </w:rPr>
              <w:t xml:space="preserve">Blank</w:t>
            </w:r>
          </w:p>
        </w:tc>
      </w:tr>
      <w:tr>
        <w:tc>
          <w:tcPr>
            <w:tcW w:type="dxa" w:w="3369"/>
          </w:tcPr>
          <w:p>
            <w:pPr>
              <w:pStyle w:val="Compact"/>
              <w:spacing w:before="40" w:after="40"/>
              <w:jc w:val="left"/>
            </w:pPr>
            <w:r>
              <w:rPr>
                <w:bCs/>
                <w:rFonts w:ascii="Arial" w:hAnsi="Arial"/>
                <w:b/>
                <w:sz w:val="20"/>
              </w:rPr>
              <w:t xml:space="preserve">Legacy Vendor ID</w:t>
            </w:r>
          </w:p>
        </w:tc>
        <w:tc>
          <w:tcPr>
            <w:tcW w:type="dxa" w:w="2620"/>
          </w:tcPr>
          <w:p>
            <w:pPr>
              <w:pStyle w:val="Compact"/>
              <w:spacing w:before="40" w:after="40"/>
              <w:jc w:val="left"/>
            </w:pPr>
            <w:r>
              <w:rPr>
                <w:rFonts w:ascii="Arial" w:hAnsi="Arial"/>
                <w:sz w:val="20"/>
              </w:rPr>
              <w:t xml:space="preserve">Legacy Vendor ID</w:t>
            </w:r>
          </w:p>
        </w:tc>
        <w:tc>
          <w:tcPr>
            <w:tcW w:type="dxa" w:w="3369"/>
          </w:tcPr>
          <w:p>
            <w:pPr>
              <w:pStyle w:val="Compact"/>
              <w:spacing w:before="40" w:after="40"/>
              <w:jc w:val="left"/>
            </w:pPr>
            <w:r>
              <w:rPr>
                <w:rFonts w:ascii="Arial" w:hAnsi="Arial"/>
                <w:sz w:val="20"/>
              </w:rPr>
              <w:t xml:space="preserve">Sage vendor ID as it is in Sage</w:t>
            </w:r>
          </w:p>
        </w:tc>
      </w:tr>
      <w:tr>
        <w:tc>
          <w:tcPr>
            <w:tcW w:type="dxa" w:w="3369"/>
          </w:tcPr>
          <w:p>
            <w:pPr>
              <w:pStyle w:val="Compact"/>
              <w:spacing w:before="40" w:after="40"/>
              <w:jc w:val="left"/>
            </w:pPr>
            <w:r>
              <w:rPr>
                <w:bCs/>
                <w:rFonts w:ascii="Arial" w:hAnsi="Arial"/>
                <w:b/>
                <w:sz w:val="20"/>
              </w:rPr>
              <w:t xml:space="preserve">Source System</w:t>
            </w:r>
          </w:p>
        </w:tc>
        <w:tc>
          <w:tcPr>
            <w:tcW w:type="dxa" w:w="2620"/>
          </w:tcPr>
          <w:p>
            <w:pPr>
              <w:pStyle w:val="Compact"/>
              <w:spacing w:before="40" w:after="40"/>
              <w:jc w:val="left"/>
            </w:pPr>
            <w:r>
              <w:rPr>
                <w:rFonts w:ascii="Arial" w:hAnsi="Arial"/>
                <w:sz w:val="20"/>
              </w:rPr>
              <w:t xml:space="preserve">Source System</w:t>
            </w:r>
          </w:p>
        </w:tc>
        <w:tc>
          <w:tcPr>
            <w:tcW w:type="dxa" w:w="3369"/>
          </w:tcPr>
          <w:p>
            <w:pPr>
              <w:pStyle w:val="Compact"/>
              <w:spacing w:before="40" w:after="40"/>
              <w:jc w:val="left"/>
            </w:pPr>
            <w:r>
              <w:rPr>
                <w:rFonts w:ascii="Arial" w:hAnsi="Arial"/>
                <w:sz w:val="20"/>
              </w:rPr>
              <w:t xml:space="preserve">Sage Intacct, or</w:t>
            </w:r>
            <w:r>
              <w:rPr>
                <w:rFonts w:ascii="Arial" w:hAnsi="Arial"/>
                <w:sz w:val="20"/>
              </w:rPr>
              <w:t xml:space="preserve"> </w:t>
            </w:r>
            <w:r>
              <w:rPr>
                <w:rFonts w:ascii="Arial" w:hAnsi="Arial"/>
                <w:sz w:val="20"/>
              </w:rPr>
              <w:t xml:space="preserve">“</w:t>
            </w:r>
            <w:r>
              <w:rPr>
                <w:rFonts w:ascii="Arial" w:hAnsi="Arial"/>
                <w:sz w:val="20"/>
              </w:rPr>
              <w:t xml:space="preserve">Sage Intacct; Ramp</w:t>
            </w:r>
            <w:r>
              <w:rPr>
                <w:rFonts w:ascii="Arial" w:hAnsi="Arial"/>
                <w:sz w:val="20"/>
              </w:rPr>
              <w:t xml:space="preserve">”</w:t>
            </w:r>
            <w:r>
              <w:rPr>
                <w:rFonts w:ascii="Arial" w:hAnsi="Arial"/>
                <w:sz w:val="20"/>
              </w:rPr>
              <w:t xml:space="preserve"> </w:t>
            </w:r>
            <w:r>
              <w:rPr>
                <w:rFonts w:ascii="Arial" w:hAnsi="Arial"/>
                <w:sz w:val="20"/>
              </w:rPr>
              <w:t xml:space="preserve">where Ramp filled a value</w:t>
            </w:r>
          </w:p>
        </w:tc>
      </w:tr>
    </w:tbl>
    <w:bookmarkStart w:id="21" w:name="added-columns"/>
    <w:p>
      <w:pPr>
        <w:pStyle w:val="Heading2"/>
      </w:pPr>
      <w:r>
        <w:t xml:space="preserve">Added columns</w:t>
      </w:r>
    </w:p>
    <w:p>
      <w:pPr>
        <w:pStyle w:val="FirstParagraph"/>
      </w:pPr>
      <w:r>
        <w:t xml:space="preserve">Not in the template, kept as on the customer load. Source IDs, as custom fields: Sage Vendor ID (as in Sage, also in the template’s Legacy Vendor ID) and Ramp Vendor ID. For review only: Question Categories, Duplicate Action, Ramp Category, Owner, Department, Last activity (latest of Sage last bill, Sage last payment, Ramp last spend), Ramp 365-day spend, Flags.</w:t>
      </w:r>
    </w:p>
    <w:bookmarkEnd w:id="21"/>
    <w:bookmarkEnd w:id="22"/>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pPr>
      <w:spacing w:after="180" w:before="180"/>
    </w:pPr>
    <w:qFormat/>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rPr>
      <w:rFonts w:ascii="Arial" w:hAnsi="Arial"/>
      <w:color w:val="000000"/>
      <w:sz w:val="22"/>
    </w:r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ascii="Arial" w:hAnsi="Arial"/>
      <w:b/>
      <w:bCs/>
      <w:i w:val="0"/>
      <w:color w:val="000000"/>
      <w:sz w:val="56"/>
      <w:szCs w:val="36"/>
    </w:rPr>
  </w:style>
  <w:style w:styleId="Subtitle" w:type="paragraph">
    <w:name w:val="Subtitle"/>
    <w:basedOn w:val="Title"/>
    <w:next w:val="BodyText"/>
    <w:qFormat/>
    <w:pPr>
      <w:keepNext/>
      <w:keepLines/>
      <w:spacing w:after="240" w:before="240"/>
      <w:jc w:val="left"/>
    </w:pPr>
    <w:rPr>
      <w:rFonts w:ascii="Georgia" w:hAnsi="Georgia"/>
      <w:i/>
      <w:color w:val="666666"/>
      <w:sz w:val="3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b/>
      <w:bCs/>
      <w:i w:val="0"/>
      <w:color w:val="2E74B5"/>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b/>
      <w:bCs/>
      <w:i w:val="0"/>
      <w:color w:val="2E74B5"/>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b/>
      <w:bCs/>
      <w:i w:val="0"/>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Arial" w:hAnsi="Arial"/>
      <w:i/>
      <w:color w:val="555555"/>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NetSuite vendor column mapping</dc:title>
  <dc:creator/>
  <cp:keywords/>
  <dcterms:created xsi:type="dcterms:W3CDTF">2026-10-26T12:10:36Z</dcterms:created>
  <dcterms:modified xsi:type="dcterms:W3CDTF">2026-10-26T12:10:36Z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Vendor import: MINIO_Vendor_Template_10192026.xlsx</vt:lpwstr>
  </property>
</Properties>
</file>