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vendor load</w:t>
      </w:r>
    </w:p>
    <w:p>
      <w:pPr>
        <w:pStyle w:val="Subtitle"/>
      </w:pPr>
      <w:r>
        <w:t xml:space="preserve">Vendor import: MINIO_Vendor_Template_10192026.xlsx</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Template</w:t>
            </w:r>
          </w:p>
        </w:tc>
        <w:tc>
          <w:tcPr>
            <w:tcW w:type="dxa" w:w="6739"/>
          </w:tcPr>
          <w:p>
            <w:pPr>
              <w:pStyle w:val="Compact"/>
              <w:spacing w:before="40" w:after="40"/>
              <w:jc w:val="left"/>
            </w:pPr>
            <w:r>
              <w:rPr>
                <w:rStyle w:val="VerbatimChar"/>
                <w:rFonts w:ascii="Arial" w:hAnsi="Arial"/>
                <w:sz w:val="20"/>
              </w:rPr>
              <w:t xml:space="preserve">MINIO_Vendor_Template_10192026.xlsx</w:t>
            </w:r>
            <w:r>
              <w:rPr>
                <w:rFonts w:ascii="Arial" w:hAnsi="Arial"/>
                <w:sz w:val="20"/>
              </w:rPr>
              <w:t xml:space="preserve"> </w:t>
            </w:r>
            <w:r>
              <w:rPr>
                <w:rFonts w:ascii="Arial" w:hAnsi="Arial"/>
                <w:sz w:val="20"/>
              </w:rPr>
              <w:t xml:space="preserve">from SOA: 61 columns, tabs Field Restrictions, Vendor Template, Vendor Category</w:t>
            </w:r>
          </w:p>
        </w:tc>
      </w:tr>
      <w:tr>
        <w:tc>
          <w:tcPr>
            <w:tcW w:type="dxa" w:w="2620"/>
            <w:shd w:val="clear" w:color="auto" w:fill="F2F4F7"/>
          </w:tcPr>
          <w:p>
            <w:pPr>
              <w:pStyle w:val="Compact"/>
              <w:spacing w:before="40" w:after="40"/>
              <w:jc w:val="left"/>
            </w:pPr>
            <w:r>
              <w:rPr>
                <w:bCs/>
                <w:rFonts w:ascii="Arial" w:hAnsi="Arial"/>
                <w:b/>
                <w:sz w:val="20"/>
              </w:rPr>
              <w:t xml:space="preserve">Required</w:t>
            </w:r>
          </w:p>
        </w:tc>
        <w:tc>
          <w:tcPr>
            <w:tcW w:type="dxa" w:w="6739"/>
          </w:tcPr>
          <w:p>
            <w:pPr>
              <w:pStyle w:val="Compact"/>
              <w:spacing w:before="40" w:after="40"/>
              <w:jc w:val="left"/>
            </w:pPr>
            <w:r>
              <w:rPr>
                <w:rFonts w:ascii="Arial" w:hAnsi="Arial"/>
                <w:sz w:val="20"/>
              </w:rPr>
              <w:t xml:space="preserve">Company Name (marked red). First and Last Name are required instead when the vendor is an individual</w:t>
            </w:r>
          </w:p>
        </w:tc>
      </w:tr>
      <w:tr>
        <w:tc>
          <w:tcPr>
            <w:tcW w:type="dxa" w:w="2620"/>
            <w:shd w:val="clear" w:color="auto" w:fill="F2F4F7"/>
          </w:tcPr>
          <w:p>
            <w:pPr>
              <w:pStyle w:val="Compact"/>
              <w:spacing w:before="40" w:after="40"/>
              <w:jc w:val="left"/>
            </w:pPr>
            <w:r>
              <w:rPr>
                <w:bCs/>
                <w:rFonts w:ascii="Arial" w:hAnsi="Arial"/>
                <w:b/>
                <w:sz w:val="20"/>
              </w:rPr>
              <w:t xml:space="preserve">Source of truth</w:t>
            </w:r>
          </w:p>
        </w:tc>
        <w:tc>
          <w:tcPr>
            <w:tcW w:type="dxa" w:w="6739"/>
          </w:tcPr>
          <w:p>
            <w:pPr>
              <w:pStyle w:val="Compact"/>
              <w:spacing w:before="40" w:after="40"/>
              <w:jc w:val="left"/>
            </w:pPr>
            <w:r>
              <w:rPr>
                <w:rFonts w:ascii="Arial" w:hAnsi="Arial"/>
                <w:sz w:val="20"/>
              </w:rPr>
              <w:t xml:space="preserve">Sage Intacct vendor detail export, 1,770 active vendors</w:t>
            </w:r>
          </w:p>
        </w:tc>
      </w:tr>
      <w:tr>
        <w:tc>
          <w:tcPr>
            <w:tcW w:type="dxa" w:w="2620"/>
            <w:shd w:val="clear" w:color="auto" w:fill="F2F4F7"/>
          </w:tcPr>
          <w:p>
            <w:pPr>
              <w:pStyle w:val="Compact"/>
              <w:spacing w:before="40" w:after="40"/>
              <w:jc w:val="left"/>
            </w:pPr>
            <w:r>
              <w:rPr>
                <w:bCs/>
                <w:rFonts w:ascii="Arial" w:hAnsi="Arial"/>
                <w:b/>
                <w:sz w:val="20"/>
              </w:rPr>
              <w:t xml:space="preserve">Enrichment</w:t>
            </w:r>
          </w:p>
        </w:tc>
        <w:tc>
          <w:tcPr>
            <w:tcW w:type="dxa" w:w="6739"/>
          </w:tcPr>
          <w:p>
            <w:pPr>
              <w:pStyle w:val="Compact"/>
              <w:spacing w:before="40" w:after="40"/>
              <w:jc w:val="left"/>
            </w:pPr>
            <w:r>
              <w:rPr>
                <w:rFonts w:ascii="Arial" w:hAnsi="Arial"/>
                <w:sz w:val="20"/>
              </w:rPr>
              <w:t xml:space="preserve">Ramp vendor export, 578 vendors. 551 carry the Sage vendor ID, so the link is exact</w:t>
            </w:r>
          </w:p>
        </w:tc>
      </w:tr>
      <w:tr>
        <w:tc>
          <w:tcPr>
            <w:tcW w:type="dxa" w:w="2620"/>
            <w:shd w:val="clear" w:color="auto" w:fill="F2F4F7"/>
          </w:tcPr>
          <w:p>
            <w:pPr>
              <w:pStyle w:val="Compact"/>
              <w:spacing w:before="40" w:after="40"/>
              <w:jc w:val="left"/>
            </w:pPr>
            <w:r>
              <w:rPr>
                <w:bCs/>
                <w:rFonts w:ascii="Arial" w:hAnsi="Arial"/>
                <w:b/>
                <w:sz w:val="20"/>
              </w:rPr>
              <w:t xml:space="preserve">Not loaded</w:t>
            </w:r>
          </w:p>
        </w:tc>
        <w:tc>
          <w:tcPr>
            <w:tcW w:type="dxa" w:w="6739"/>
          </w:tcPr>
          <w:p>
            <w:pPr>
              <w:pStyle w:val="Compact"/>
              <w:spacing w:before="40" w:after="40"/>
              <w:jc w:val="left"/>
            </w:pPr>
            <w:r>
              <w:rPr>
                <w:rFonts w:ascii="Arial" w:hAnsi="Arial"/>
                <w:sz w:val="20"/>
              </w:rPr>
              <w:t xml:space="preserve">Bank details (ACH and wire). The template has no bank fields</w:t>
            </w:r>
          </w:p>
        </w:tc>
      </w:tr>
      <w:tr>
        <w:tc>
          <w:tcPr>
            <w:tcW w:type="dxa" w:w="2620"/>
            <w:shd w:val="clear" w:color="auto" w:fill="F2F4F7"/>
          </w:tcPr>
          <w:p>
            <w:pPr>
              <w:pStyle w:val="Compact"/>
              <w:spacing w:before="40" w:after="40"/>
              <w:jc w:val="left"/>
            </w:pPr>
            <w:r>
              <w:rPr>
                <w:bCs/>
                <w:rFonts w:ascii="Arial" w:hAnsi="Arial"/>
                <w:b/>
                <w:sz w:val="20"/>
              </w:rPr>
              <w:t xml:space="preserve">Review table</w:t>
            </w:r>
          </w:p>
        </w:tc>
        <w:tc>
          <w:tcPr>
            <w:tcW w:type="dxa" w:w="6739"/>
          </w:tcPr>
          <w:p>
            <w:pPr>
              <w:pStyle w:val="Compact"/>
              <w:spacing w:before="40" w:after="40"/>
              <w:jc w:val="left"/>
            </w:pPr>
            <w:r>
              <w:rPr>
                <w:rFonts w:ascii="Arial" w:hAnsi="Arial"/>
                <w:sz w:val="20"/>
              </w:rPr>
              <w:t xml:space="preserve">Every active Sage vendor mapped to the template, with Ramp coverage and flags: https://claude.ai/artifact/43aBdfBgsyuiGNHAtGPSsw</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Scope and rules agreed 2026-10-26. Load plan and remaining questions below</w:t>
            </w:r>
          </w:p>
        </w:tc>
      </w:tr>
    </w:tbl>
    <w:bookmarkEnd w:id="20"/>
    <w:bookmarkStart w:id="22" w:name="column-mapping"/>
    <w:p>
      <w:pPr>
        <w:pStyle w:val="Heading1"/>
      </w:pPr>
      <w:r>
        <w:t xml:space="preserve">Column mapping</w:t>
      </w:r>
    </w:p>
    <w:p>
      <w:pPr>
        <w:pStyle w:val="FirstParagraph"/>
      </w:pPr>
      <w:r>
        <w:t xml:space="preserve">Same approach as the customer load: Sage first, Ramp fills gaps, rules marked as rules.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369"/>
        <w:gridCol w:w="2620"/>
        <w:gridCol w:w="3369"/>
      </w:tblGrid>
      <w:tr>
        <w:trPr>
          <w:tblHeader w:val="true"/>
        </w:trPr>
        <w:tc>
          <w:tcPr>
            <w:tcW w:type="dxa" w:w="3369"/>
            <w:shd w:val="clear" w:color="auto" w:fill="1F3B5C"/>
          </w:tcPr>
          <w:p>
            <w:pPr>
              <w:pStyle w:val="Compact"/>
              <w:spacing w:before="40" w:after="40"/>
              <w:jc w:val="left"/>
            </w:pPr>
            <w:r>
              <w:rPr>
                <w:bCs/>
                <w:rFonts w:ascii="Arial" w:hAnsi="Arial"/>
                <w:b/>
                <w:color w:val="FFFFFF"/>
                <w:sz w:val="20"/>
              </w:rPr>
              <w:t xml:space="preserve">Template column</w:t>
            </w:r>
          </w:p>
        </w:tc>
        <w:tc>
          <w:tcPr>
            <w:tcW w:type="dxa" w:w="2620"/>
            <w:shd w:val="clear" w:color="auto" w:fill="1F3B5C"/>
          </w:tcPr>
          <w:p>
            <w:pPr>
              <w:pStyle w:val="Compact"/>
              <w:spacing w:before="40" w:after="40"/>
              <w:jc w:val="left"/>
            </w:pPr>
            <w:r>
              <w:rPr>
                <w:bCs/>
                <w:rFonts w:ascii="Arial" w:hAnsi="Arial"/>
                <w:b/>
                <w:color w:val="FFFFFF"/>
                <w:sz w:val="20"/>
              </w:rPr>
              <w:t xml:space="preserve">Field</w:t>
            </w:r>
          </w:p>
        </w:tc>
        <w:tc>
          <w:tcPr>
            <w:tcW w:type="dxa" w:w="3369"/>
            <w:shd w:val="clear" w:color="auto" w:fill="1F3B5C"/>
          </w:tcPr>
          <w:p>
            <w:pPr>
              <w:pStyle w:val="Compact"/>
              <w:spacing w:before="40" w:after="40"/>
              <w:jc w:val="left"/>
            </w:pPr>
            <w:r>
              <w:rPr>
                <w:bCs/>
                <w:rFonts w:ascii="Arial" w:hAnsi="Arial"/>
                <w:b/>
                <w:color w:val="FFFFFF"/>
                <w:sz w:val="20"/>
              </w:rPr>
              <w:t xml:space="preserve">Source</w:t>
            </w:r>
          </w:p>
        </w:tc>
      </w:tr>
      <w:tr>
        <w:tc>
          <w:tcPr>
            <w:tcW w:type="dxa" w:w="3369"/>
          </w:tcPr>
          <w:p>
            <w:pPr>
              <w:pStyle w:val="Compact"/>
              <w:spacing w:before="40" w:after="40"/>
              <w:jc w:val="left"/>
            </w:pPr>
            <w:r>
              <w:rPr>
                <w:bCs/>
                <w:rFonts w:ascii="Arial" w:hAnsi="Arial"/>
                <w:b/>
                <w:sz w:val="20"/>
              </w:rPr>
              <w:t xml:space="preserve">ExternalID</w:t>
            </w:r>
          </w:p>
        </w:tc>
        <w:tc>
          <w:tcPr>
            <w:tcW w:type="dxa" w:w="2620"/>
          </w:tcPr>
          <w:p>
            <w:pPr>
              <w:pStyle w:val="Compact"/>
              <w:spacing w:before="40" w:after="40"/>
              <w:jc w:val="left"/>
            </w:pPr>
            <w:r>
              <w:rPr>
                <w:rFonts w:ascii="Arial" w:hAnsi="Arial"/>
                <w:sz w:val="20"/>
              </w:rPr>
              <w:t xml:space="preserve">externalId</w:t>
            </w:r>
          </w:p>
        </w:tc>
        <w:tc>
          <w:tcPr>
            <w:tcW w:type="dxa" w:w="3369"/>
          </w:tcPr>
          <w:p>
            <w:pPr>
              <w:pStyle w:val="Compact"/>
              <w:spacing w:before="40" w:after="40"/>
              <w:jc w:val="left"/>
            </w:pPr>
            <w:r>
              <w:rPr>
                <w:rFonts w:ascii="Arial" w:hAnsi="Arial"/>
                <w:sz w:val="20"/>
              </w:rPr>
              <w:t xml:space="preserve">Same as Vendor ID</w:t>
            </w:r>
          </w:p>
        </w:tc>
      </w:tr>
      <w:tr>
        <w:tc>
          <w:tcPr>
            <w:tcW w:type="dxa" w:w="3369"/>
          </w:tcPr>
          <w:p>
            <w:pPr>
              <w:pStyle w:val="Compact"/>
              <w:spacing w:before="40" w:after="40"/>
              <w:jc w:val="left"/>
            </w:pPr>
            <w:r>
              <w:rPr>
                <w:bCs/>
                <w:rFonts w:ascii="Arial" w:hAnsi="Arial"/>
                <w:b/>
                <w:sz w:val="20"/>
              </w:rPr>
              <w:t xml:space="preserve">Vendor ID</w:t>
            </w:r>
          </w:p>
        </w:tc>
        <w:tc>
          <w:tcPr>
            <w:tcW w:type="dxa" w:w="2620"/>
          </w:tcPr>
          <w:p>
            <w:pPr>
              <w:pStyle w:val="Compact"/>
              <w:spacing w:before="40" w:after="40"/>
              <w:jc w:val="left"/>
            </w:pPr>
            <w:r>
              <w:rPr>
                <w:rFonts w:ascii="Arial" w:hAnsi="Arial"/>
                <w:sz w:val="20"/>
              </w:rPr>
              <w:t xml:space="preserve">vendorId</w:t>
            </w:r>
          </w:p>
        </w:tc>
        <w:tc>
          <w:tcPr>
            <w:tcW w:type="dxa" w:w="3369"/>
          </w:tcPr>
          <w:p>
            <w:pPr>
              <w:pStyle w:val="Compact"/>
              <w:spacing w:before="40" w:after="40"/>
              <w:jc w:val="left"/>
            </w:pPr>
            <w:r>
              <w:rPr>
                <w:rFonts w:ascii="Arial" w:hAnsi="Arial"/>
                <w:sz w:val="20"/>
              </w:rPr>
              <w:t xml:space="preserve">Sage vendor ID. V-##### kept; older V##### (339) and Ramp-created RMP_# (37) get the next numbers after V-01768, from V-01769. NetSuite auto-numbers new vendors after the last loaded number</w:t>
            </w:r>
          </w:p>
        </w:tc>
      </w:tr>
      <w:tr>
        <w:tc>
          <w:tcPr>
            <w:tcW w:type="dxa" w:w="3369"/>
          </w:tcPr>
          <w:p>
            <w:pPr>
              <w:pStyle w:val="Compact"/>
              <w:spacing w:before="40" w:after="40"/>
              <w:jc w:val="left"/>
            </w:pPr>
            <w:r>
              <w:rPr>
                <w:bCs/>
                <w:rFonts w:ascii="Arial" w:hAnsi="Arial"/>
                <w:b/>
                <w:sz w:val="20"/>
              </w:rPr>
              <w:t xml:space="preserve">Individual</w:t>
            </w:r>
          </w:p>
        </w:tc>
        <w:tc>
          <w:tcPr>
            <w:tcW w:type="dxa" w:w="2620"/>
          </w:tcPr>
          <w:p>
            <w:pPr>
              <w:pStyle w:val="Compact"/>
              <w:spacing w:before="40" w:after="40"/>
              <w:jc w:val="left"/>
            </w:pPr>
            <w:r>
              <w:rPr>
                <w:rFonts w:ascii="Arial" w:hAnsi="Arial"/>
                <w:sz w:val="20"/>
              </w:rPr>
              <w:t xml:space="preserve">isPerson</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This vendor is an individual person</w:t>
            </w:r>
            <w:r>
              <w:rPr>
                <w:rFonts w:ascii="Arial" w:hAnsi="Arial"/>
                <w:sz w:val="20"/>
              </w:rPr>
              <w:t xml:space="preserve">”</w:t>
            </w:r>
            <w:r>
              <w:rPr>
                <w:rFonts w:ascii="Arial" w:hAnsi="Arial"/>
                <w:sz w:val="20"/>
              </w:rPr>
              <w:t xml:space="preserve"> </w:t>
            </w:r>
            <w:r>
              <w:rPr>
                <w:rFonts w:ascii="Arial" w:hAnsi="Arial"/>
                <w:sz w:val="20"/>
              </w:rPr>
              <w:t xml:space="preserve">(34 are)</w:t>
            </w:r>
          </w:p>
        </w:tc>
      </w:tr>
      <w:tr>
        <w:tc>
          <w:tcPr>
            <w:tcW w:type="dxa" w:w="3369"/>
          </w:tcPr>
          <w:p>
            <w:pPr>
              <w:pStyle w:val="Compact"/>
              <w:spacing w:before="40" w:after="40"/>
              <w:jc w:val="left"/>
            </w:pPr>
            <w:r>
              <w:rPr>
                <w:bCs/>
                <w:rFonts w:ascii="Arial" w:hAnsi="Arial"/>
                <w:b/>
                <w:sz w:val="20"/>
              </w:rPr>
              <w:t xml:space="preserve">First Name, Middle Name, Last Name</w:t>
            </w:r>
          </w:p>
        </w:tc>
        <w:tc>
          <w:tcPr>
            <w:tcW w:type="dxa" w:w="2620"/>
          </w:tcPr>
          <w:p>
            <w:pPr>
              <w:pStyle w:val="Compact"/>
              <w:spacing w:before="40" w:after="40"/>
              <w:jc w:val="left"/>
            </w:pPr>
            <w:r>
              <w:rPr>
                <w:rFonts w:ascii="Arial" w:hAnsi="Arial"/>
                <w:sz w:val="20"/>
              </w:rPr>
              <w:t xml:space="preserve">firstName, middleName, lastName</w:t>
            </w:r>
          </w:p>
        </w:tc>
        <w:tc>
          <w:tcPr>
            <w:tcW w:type="dxa" w:w="3369"/>
          </w:tcPr>
          <w:p>
            <w:pPr>
              <w:pStyle w:val="Compact"/>
              <w:spacing w:before="40" w:after="40"/>
              <w:jc w:val="left"/>
            </w:pPr>
            <w:r>
              <w:rPr>
                <w:rFonts w:ascii="Arial" w:hAnsi="Arial"/>
                <w:sz w:val="20"/>
              </w:rPr>
              <w:t xml:space="preserve">Sage contact name, individuals only</w:t>
            </w:r>
          </w:p>
        </w:tc>
      </w:tr>
      <w:tr>
        <w:tc>
          <w:tcPr>
            <w:tcW w:type="dxa" w:w="3369"/>
          </w:tcPr>
          <w:p>
            <w:pPr>
              <w:pStyle w:val="Compact"/>
              <w:spacing w:before="40" w:after="40"/>
              <w:jc w:val="left"/>
            </w:pPr>
            <w:r>
              <w:rPr>
                <w:bCs/>
                <w:rFonts w:ascii="Arial" w:hAnsi="Arial"/>
                <w:b/>
                <w:sz w:val="20"/>
              </w:rPr>
              <w:t xml:space="preserve">Company Name</w:t>
            </w:r>
          </w:p>
        </w:tc>
        <w:tc>
          <w:tcPr>
            <w:tcW w:type="dxa" w:w="2620"/>
          </w:tcPr>
          <w:p>
            <w:pPr>
              <w:pStyle w:val="Compact"/>
              <w:spacing w:before="40" w:after="40"/>
              <w:jc w:val="left"/>
            </w:pPr>
            <w:r>
              <w:rPr>
                <w:rFonts w:ascii="Arial" w:hAnsi="Arial"/>
                <w:sz w:val="20"/>
              </w:rPr>
              <w:t xml:space="preserve">companyName</w:t>
            </w:r>
          </w:p>
        </w:tc>
        <w:tc>
          <w:tcPr>
            <w:tcW w:type="dxa" w:w="3369"/>
          </w:tcPr>
          <w:p>
            <w:pPr>
              <w:pStyle w:val="Compact"/>
              <w:spacing w:before="40" w:after="40"/>
              <w:jc w:val="left"/>
            </w:pPr>
            <w:r>
              <w:rPr>
                <w:rFonts w:ascii="Arial" w:hAnsi="Arial"/>
                <w:sz w:val="20"/>
              </w:rPr>
              <w:t xml:space="preserve">Sage vendor name. Required</w:t>
            </w:r>
          </w:p>
        </w:tc>
      </w:tr>
      <w:tr>
        <w:tc>
          <w:tcPr>
            <w:tcW w:type="dxa" w:w="3369"/>
          </w:tcPr>
          <w:p>
            <w:pPr>
              <w:pStyle w:val="Compact"/>
              <w:spacing w:before="40" w:after="40"/>
              <w:jc w:val="left"/>
            </w:pPr>
            <w:r>
              <w:rPr>
                <w:bCs/>
                <w:rFonts w:ascii="Arial" w:hAnsi="Arial"/>
                <w:b/>
                <w:sz w:val="20"/>
              </w:rPr>
              <w:t xml:space="preserve">Vendor Category</w:t>
            </w:r>
          </w:p>
        </w:tc>
        <w:tc>
          <w:tcPr>
            <w:tcW w:type="dxa" w:w="2620"/>
          </w:tcPr>
          <w:p>
            <w:pPr>
              <w:pStyle w:val="Compact"/>
              <w:spacing w:before="40" w:after="40"/>
              <w:jc w:val="left"/>
            </w:pPr>
            <w:r>
              <w:rPr>
                <w:rFonts w:ascii="Arial" w:hAnsi="Arial"/>
                <w:sz w:val="20"/>
              </w:rPr>
              <w:t xml:space="preserve">category</w:t>
            </w:r>
          </w:p>
        </w:tc>
        <w:tc>
          <w:tcPr>
            <w:tcW w:type="dxa" w:w="3369"/>
          </w:tcPr>
          <w:p>
            <w:pPr>
              <w:pStyle w:val="Compact"/>
              <w:spacing w:before="40" w:after="40"/>
              <w:jc w:val="left"/>
            </w:pPr>
            <w:r>
              <w:rPr>
                <w:rFonts w:ascii="Arial" w:hAnsi="Arial"/>
                <w:sz w:val="20"/>
              </w:rPr>
              <w:t xml:space="preserve">Sage vendor type, mapped to the template list: AR reseller to AR Reseller, Tax to Tax agency, MinIO employee to MinIO Employee. 922 vendors have no type</w:t>
            </w:r>
          </w:p>
        </w:tc>
      </w:tr>
      <w:tr>
        <w:tc>
          <w:tcPr>
            <w:tcW w:type="dxa" w:w="3369"/>
          </w:tcPr>
          <w:p>
            <w:pPr>
              <w:pStyle w:val="Compact"/>
              <w:spacing w:before="40" w:after="40"/>
              <w:jc w:val="left"/>
            </w:pPr>
            <w:r>
              <w:rPr>
                <w:bCs/>
                <w:rFonts w:ascii="Arial" w:hAnsi="Arial"/>
                <w:b/>
                <w:sz w:val="20"/>
              </w:rPr>
              <w:t xml:space="preserve">Primary Subsidiary</w:t>
            </w:r>
          </w:p>
        </w:tc>
        <w:tc>
          <w:tcPr>
            <w:tcW w:type="dxa" w:w="2620"/>
          </w:tcPr>
          <w:p>
            <w:pPr>
              <w:pStyle w:val="Compact"/>
              <w:spacing w:before="40" w:after="40"/>
              <w:jc w:val="left"/>
            </w:pPr>
            <w:r>
              <w:rPr>
                <w:rFonts w:ascii="Arial" w:hAnsi="Arial"/>
                <w:sz w:val="20"/>
              </w:rPr>
              <w:t xml:space="preserve">subsidiary</w:t>
            </w:r>
          </w:p>
        </w:tc>
        <w:tc>
          <w:tcPr>
            <w:tcW w:type="dxa" w:w="3369"/>
          </w:tcPr>
          <w:p>
            <w:pPr>
              <w:pStyle w:val="Compact"/>
              <w:spacing w:before="40" w:after="40"/>
              <w:jc w:val="left"/>
            </w:pPr>
            <w:r>
              <w:rPr>
                <w:rFonts w:ascii="Arial" w:hAnsi="Arial"/>
                <w:sz w:val="20"/>
              </w:rPr>
              <w:t xml:space="preserve">MinIO, Inc. [TBC: 9 INR vendors and 1 SGD vendor may belong to MinIO Pvt. Ltd. or MinIO Singapore Pte. Ltd.; see open questions]</w:t>
            </w:r>
          </w:p>
        </w:tc>
      </w:tr>
      <w:tr>
        <w:tc>
          <w:tcPr>
            <w:tcW w:type="dxa" w:w="3369"/>
          </w:tcPr>
          <w:p>
            <w:pPr>
              <w:pStyle w:val="Compact"/>
              <w:spacing w:before="40" w:after="40"/>
              <w:jc w:val="left"/>
            </w:pPr>
            <w:r>
              <w:rPr>
                <w:bCs/>
                <w:rFonts w:ascii="Arial" w:hAnsi="Arial"/>
                <w:b/>
                <w:sz w:val="20"/>
              </w:rPr>
              <w:t xml:space="preserve">Phone, Fax</w:t>
            </w:r>
          </w:p>
        </w:tc>
        <w:tc>
          <w:tcPr>
            <w:tcW w:type="dxa" w:w="2620"/>
          </w:tcPr>
          <w:p>
            <w:pPr>
              <w:pStyle w:val="Compact"/>
              <w:spacing w:before="40" w:after="40"/>
              <w:jc w:val="left"/>
            </w:pPr>
            <w:r>
              <w:rPr>
                <w:rFonts w:ascii="Arial" w:hAnsi="Arial"/>
                <w:sz w:val="20"/>
              </w:rPr>
              <w:t xml:space="preserve">phone, fax</w:t>
            </w:r>
          </w:p>
        </w:tc>
        <w:tc>
          <w:tcPr>
            <w:tcW w:type="dxa" w:w="3369"/>
          </w:tcPr>
          <w:p>
            <w:pPr>
              <w:pStyle w:val="Compact"/>
              <w:spacing w:before="40" w:after="40"/>
              <w:jc w:val="left"/>
            </w:pPr>
            <w:r>
              <w:rPr>
                <w:rFonts w:ascii="Arial" w:hAnsi="Arial"/>
                <w:sz w:val="20"/>
              </w:rPr>
              <w:t xml:space="preserve">Sage, else Ramp contact phone</w:t>
            </w:r>
          </w:p>
        </w:tc>
      </w:tr>
      <w:tr>
        <w:tc>
          <w:tcPr>
            <w:tcW w:type="dxa" w:w="3369"/>
          </w:tcPr>
          <w:p>
            <w:pPr>
              <w:pStyle w:val="Compact"/>
              <w:spacing w:before="40" w:after="40"/>
              <w:jc w:val="left"/>
            </w:pPr>
            <w:r>
              <w:rPr>
                <w:bCs/>
                <w:rFonts w:ascii="Arial" w:hAnsi="Arial"/>
                <w:b/>
                <w:sz w:val="20"/>
              </w:rPr>
              <w:t xml:space="preserve">Email</w:t>
            </w:r>
          </w:p>
        </w:tc>
        <w:tc>
          <w:tcPr>
            <w:tcW w:type="dxa" w:w="2620"/>
          </w:tcPr>
          <w:p>
            <w:pPr>
              <w:pStyle w:val="Compact"/>
              <w:spacing w:before="40" w:after="40"/>
              <w:jc w:val="left"/>
            </w:pPr>
            <w:r>
              <w:rPr>
                <w:rFonts w:ascii="Arial" w:hAnsi="Arial"/>
                <w:sz w:val="20"/>
              </w:rPr>
              <w:t xml:space="preserve">email</w:t>
            </w:r>
          </w:p>
        </w:tc>
        <w:tc>
          <w:tcPr>
            <w:tcW w:type="dxa" w:w="3369"/>
          </w:tcPr>
          <w:p>
            <w:pPr>
              <w:pStyle w:val="Compact"/>
              <w:spacing w:before="40" w:after="40"/>
              <w:jc w:val="left"/>
            </w:pPr>
            <w:r>
              <w:rPr>
                <w:rFonts w:ascii="Arial" w:hAnsi="Arial"/>
                <w:sz w:val="20"/>
              </w:rPr>
              <w:t xml:space="preserve">Sage email, else Ramp contact email. Field holds 300 characters</w:t>
            </w:r>
          </w:p>
        </w:tc>
      </w:tr>
      <w:tr>
        <w:tc>
          <w:tcPr>
            <w:tcW w:type="dxa" w:w="3369"/>
          </w:tcPr>
          <w:p>
            <w:pPr>
              <w:pStyle w:val="Compact"/>
              <w:spacing w:before="40" w:after="40"/>
              <w:jc w:val="left"/>
            </w:pPr>
            <w:r>
              <w:rPr>
                <w:bCs/>
                <w:rFonts w:ascii="Arial" w:hAnsi="Arial"/>
                <w:b/>
                <w:sz w:val="20"/>
              </w:rPr>
              <w:t xml:space="preserve">Comments</w:t>
            </w:r>
          </w:p>
        </w:tc>
        <w:tc>
          <w:tcPr>
            <w:tcW w:type="dxa" w:w="2620"/>
          </w:tcPr>
          <w:p>
            <w:pPr>
              <w:pStyle w:val="Compact"/>
              <w:spacing w:before="40" w:after="40"/>
              <w:jc w:val="left"/>
            </w:pPr>
            <w:r>
              <w:rPr>
                <w:rFonts w:ascii="Arial" w:hAnsi="Arial"/>
                <w:sz w:val="20"/>
              </w:rPr>
              <w:t xml:space="preserve">comments</w:t>
            </w:r>
          </w:p>
        </w:tc>
        <w:tc>
          <w:tcPr>
            <w:tcW w:type="dxa" w:w="3369"/>
          </w:tcPr>
          <w:p>
            <w:pPr>
              <w:pStyle w:val="Compact"/>
              <w:spacing w:before="40" w:after="40"/>
              <w:jc w:val="left"/>
            </w:pPr>
            <w:r>
              <w:rPr>
                <w:rFonts w:ascii="Arial" w:hAnsi="Arial"/>
                <w:sz w:val="20"/>
              </w:rPr>
              <w:t xml:space="preserve">Sage comments</w:t>
            </w:r>
          </w:p>
        </w:tc>
      </w:tr>
      <w:tr>
        <w:tc>
          <w:tcPr>
            <w:tcW w:type="dxa" w:w="3369"/>
          </w:tcPr>
          <w:p>
            <w:pPr>
              <w:pStyle w:val="Compact"/>
              <w:spacing w:before="40" w:after="40"/>
              <w:jc w:val="left"/>
            </w:pPr>
            <w:r>
              <w:rPr>
                <w:bCs/>
                <w:rFonts w:ascii="Arial" w:hAnsi="Arial"/>
                <w:b/>
                <w:sz w:val="20"/>
              </w:rPr>
              <w:t xml:space="preserve">Email Preference, Send Transaction Via Email / Fax / Print</w:t>
            </w:r>
          </w:p>
        </w:tc>
        <w:tc>
          <w:tcPr>
            <w:tcW w:type="dxa" w:w="2620"/>
          </w:tcPr>
          <w:p>
            <w:pPr>
              <w:pStyle w:val="Compact"/>
              <w:spacing w:before="40" w:after="40"/>
              <w:jc w:val="left"/>
            </w:pPr>
            <w:r>
              <w:rPr>
                <w:rFonts w:ascii="Arial" w:hAnsi="Arial"/>
                <w:sz w:val="20"/>
              </w:rPr>
              <w:t xml:space="preserve">emailpreference, emailTransactions, faxTransactions, printTransactions</w:t>
            </w:r>
          </w:p>
        </w:tc>
        <w:tc>
          <w:tcPr>
            <w:tcW w:type="dxa" w:w="3369"/>
          </w:tcPr>
          <w:p>
            <w:pPr>
              <w:pStyle w:val="Compact"/>
              <w:spacing w:before="40" w:after="40"/>
              <w:jc w:val="left"/>
            </w:pPr>
            <w:r>
              <w:rPr>
                <w:rFonts w:ascii="Arial" w:hAnsi="Arial"/>
                <w:sz w:val="20"/>
              </w:rPr>
              <w:t xml:space="preserve">Blank, NetSuite defaults</w:t>
            </w:r>
          </w:p>
        </w:tc>
      </w:tr>
      <w:tr>
        <w:tc>
          <w:tcPr>
            <w:tcW w:type="dxa" w:w="3369"/>
          </w:tcPr>
          <w:p>
            <w:pPr>
              <w:pStyle w:val="Compact"/>
              <w:spacing w:before="40" w:after="40"/>
              <w:jc w:val="left"/>
            </w:pPr>
            <w:r>
              <w:rPr>
                <w:bCs/>
                <w:rFonts w:ascii="Arial" w:hAnsi="Arial"/>
                <w:b/>
                <w:sz w:val="20"/>
              </w:rPr>
              <w:t xml:space="preserve">Address 1 (Label, Attention, Addressee, Phone, Address 1 and 2, City, State, Zip, Country, Default Shipping, Default Billing)</w:t>
            </w:r>
          </w:p>
        </w:tc>
        <w:tc>
          <w:tcPr>
            <w:tcW w:type="dxa" w:w="2620"/>
          </w:tcPr>
          <w:p>
            <w:pPr>
              <w:pStyle w:val="Compact"/>
              <w:spacing w:before="40" w:after="40"/>
              <w:jc w:val="left"/>
            </w:pPr>
            <w:r>
              <w:rPr>
                <w:rFonts w:ascii="Arial" w:hAnsi="Arial"/>
                <w:sz w:val="20"/>
              </w:rPr>
              <w:t xml:space="preserve">address1_*</w:t>
            </w:r>
          </w:p>
        </w:tc>
        <w:tc>
          <w:tcPr>
            <w:tcW w:type="dxa" w:w="3369"/>
          </w:tcPr>
          <w:p>
            <w:pPr>
              <w:pStyle w:val="Compact"/>
              <w:spacing w:before="40" w:after="40"/>
              <w:jc w:val="left"/>
            </w:pPr>
            <w:r>
              <w:rPr>
                <w:rFonts w:ascii="Arial" w:hAnsi="Arial"/>
                <w:sz w:val="20"/>
              </w:rPr>
              <w:t xml:space="preserve">Sage pay-to address, else primary contact address, else Ramp check mailing address. Label</w:t>
            </w:r>
            <w:r>
              <w:rPr>
                <w:rFonts w:ascii="Arial" w:hAnsi="Arial"/>
                <w:sz w:val="20"/>
              </w:rPr>
              <w:t xml:space="preserve"> </w:t>
            </w:r>
            <w:r>
              <w:rPr>
                <w:rFonts w:ascii="Arial" w:hAnsi="Arial"/>
                <w:sz w:val="20"/>
              </w:rPr>
              <w:t xml:space="preserve">“</w:t>
            </w:r>
            <w:r>
              <w:rPr>
                <w:rFonts w:ascii="Arial" w:hAnsi="Arial"/>
                <w:sz w:val="20"/>
              </w:rPr>
              <w:t xml:space="preserve">Remit-to</w:t>
            </w:r>
            <w:r>
              <w:rPr>
                <w:rFonts w:ascii="Arial" w:hAnsi="Arial"/>
                <w:sz w:val="20"/>
              </w:rPr>
              <w:t xml:space="preserve">”</w:t>
            </w:r>
            <w:r>
              <w:rPr>
                <w:rFonts w:ascii="Arial" w:hAnsi="Arial"/>
                <w:sz w:val="20"/>
              </w:rPr>
              <w:t xml:space="preserve">, Default Billing TRUE</w:t>
            </w:r>
          </w:p>
        </w:tc>
      </w:tr>
      <w:tr>
        <w:tc>
          <w:tcPr>
            <w:tcW w:type="dxa" w:w="3369"/>
          </w:tcPr>
          <w:p>
            <w:pPr>
              <w:pStyle w:val="Compact"/>
              <w:spacing w:before="40" w:after="40"/>
              <w:jc w:val="left"/>
            </w:pPr>
            <w:r>
              <w:rPr>
                <w:bCs/>
                <w:rFonts w:ascii="Arial" w:hAnsi="Arial"/>
                <w:b/>
                <w:sz w:val="20"/>
              </w:rPr>
              <w:t xml:space="preserve">Address 2 (same fields)</w:t>
            </w:r>
          </w:p>
        </w:tc>
        <w:tc>
          <w:tcPr>
            <w:tcW w:type="dxa" w:w="2620"/>
          </w:tcPr>
          <w:p>
            <w:pPr>
              <w:pStyle w:val="Compact"/>
              <w:spacing w:before="40" w:after="40"/>
              <w:jc w:val="left"/>
            </w:pPr>
            <w:r>
              <w:rPr>
                <w:rFonts w:ascii="Arial" w:hAnsi="Arial"/>
                <w:sz w:val="20"/>
              </w:rPr>
              <w:t xml:space="preserve">address2_*</w:t>
            </w:r>
          </w:p>
        </w:tc>
        <w:tc>
          <w:tcPr>
            <w:tcW w:type="dxa" w:w="3369"/>
          </w:tcPr>
          <w:p>
            <w:pPr>
              <w:pStyle w:val="Compact"/>
              <w:spacing w:before="40" w:after="40"/>
              <w:jc w:val="left"/>
            </w:pPr>
            <w:r>
              <w:rPr>
                <w:rFonts w:ascii="Arial" w:hAnsi="Arial"/>
                <w:sz w:val="20"/>
              </w:rPr>
              <w:t xml:space="preserve">Sage return-to address where different from address 1. Label</w:t>
            </w:r>
            <w:r>
              <w:rPr>
                <w:rFonts w:ascii="Arial" w:hAnsi="Arial"/>
                <w:sz w:val="20"/>
              </w:rPr>
              <w:t xml:space="preserve"> </w:t>
            </w:r>
            <w:r>
              <w:rPr>
                <w:rFonts w:ascii="Arial" w:hAnsi="Arial"/>
                <w:sz w:val="20"/>
              </w:rPr>
              <w:t xml:space="preserve">“</w:t>
            </w:r>
            <w:r>
              <w:rPr>
                <w:rFonts w:ascii="Arial" w:hAnsi="Arial"/>
                <w:sz w:val="20"/>
              </w:rPr>
              <w:t xml:space="preserve">Return-to</w:t>
            </w:r>
            <w:r>
              <w:rPr>
                <w:rFonts w:ascii="Arial" w:hAnsi="Arial"/>
                <w:sz w:val="20"/>
              </w:rPr>
              <w:t xml:space="preserve">”</w:t>
            </w:r>
            <w:r>
              <w:rPr>
                <w:rFonts w:ascii="Arial" w:hAnsi="Arial"/>
                <w:sz w:val="20"/>
              </w:rPr>
              <w:t xml:space="preserve">, Default Shipping TRUE</w:t>
            </w:r>
          </w:p>
        </w:tc>
      </w:tr>
      <w:tr>
        <w:tc>
          <w:tcPr>
            <w:tcW w:type="dxa" w:w="3369"/>
          </w:tcPr>
          <w:p>
            <w:pPr>
              <w:pStyle w:val="Compact"/>
              <w:spacing w:before="40" w:after="40"/>
              <w:jc w:val="left"/>
            </w:pPr>
            <w:r>
              <w:rPr>
                <w:bCs/>
                <w:rFonts w:ascii="Arial" w:hAnsi="Arial"/>
                <w:b/>
                <w:sz w:val="20"/>
              </w:rPr>
              <w:t xml:space="preserve">Legal Name</w:t>
            </w:r>
          </w:p>
        </w:tc>
        <w:tc>
          <w:tcPr>
            <w:tcW w:type="dxa" w:w="2620"/>
          </w:tcPr>
          <w:p>
            <w:pPr>
              <w:pStyle w:val="Compact"/>
              <w:spacing w:before="40" w:after="40"/>
              <w:jc w:val="left"/>
            </w:pPr>
            <w:r>
              <w:rPr>
                <w:rFonts w:ascii="Arial" w:hAnsi="Arial"/>
                <w:sz w:val="20"/>
              </w:rPr>
              <w:t xml:space="preserve">legalName</w:t>
            </w:r>
          </w:p>
        </w:tc>
        <w:tc>
          <w:tcPr>
            <w:tcW w:type="dxa" w:w="3369"/>
          </w:tcPr>
          <w:p>
            <w:pPr>
              <w:pStyle w:val="Compact"/>
              <w:spacing w:before="40" w:after="40"/>
              <w:jc w:val="left"/>
            </w:pPr>
            <w:r>
              <w:rPr>
                <w:rFonts w:ascii="Arial" w:hAnsi="Arial"/>
                <w:sz w:val="20"/>
              </w:rPr>
              <w:t xml:space="preserve">Ramp vendor legal name (149), else Sage 1099 name</w:t>
            </w:r>
          </w:p>
        </w:tc>
      </w:tr>
      <w:tr>
        <w:tc>
          <w:tcPr>
            <w:tcW w:type="dxa" w:w="3369"/>
          </w:tcPr>
          <w:p>
            <w:pPr>
              <w:pStyle w:val="Compact"/>
              <w:spacing w:before="40" w:after="40"/>
              <w:jc w:val="left"/>
            </w:pPr>
            <w:r>
              <w:rPr>
                <w:bCs/>
                <w:rFonts w:ascii="Arial" w:hAnsi="Arial"/>
                <w:b/>
                <w:sz w:val="20"/>
              </w:rPr>
              <w:t xml:space="preserve">Account</w:t>
            </w:r>
          </w:p>
        </w:tc>
        <w:tc>
          <w:tcPr>
            <w:tcW w:type="dxa" w:w="2620"/>
          </w:tcPr>
          <w:p>
            <w:pPr>
              <w:pStyle w:val="Compact"/>
              <w:spacing w:before="40" w:after="40"/>
              <w:jc w:val="left"/>
            </w:pPr>
            <w:r>
              <w:rPr>
                <w:rFonts w:ascii="Arial" w:hAnsi="Arial"/>
                <w:sz w:val="20"/>
              </w:rPr>
              <w:t xml:space="preserve">accountNumber</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Number</w:t>
            </w:r>
            <w:r>
              <w:rPr>
                <w:rFonts w:ascii="Arial" w:hAnsi="Arial"/>
                <w:sz w:val="20"/>
              </w:rPr>
              <w:t xml:space="preserve">”</w:t>
            </w:r>
            <w:r>
              <w:rPr>
                <w:rFonts w:ascii="Arial" w:hAnsi="Arial"/>
                <w:sz w:val="20"/>
              </w:rPr>
              <w:t xml:space="preserve">: the account number the vendor assigned to MinIO (26 vendors)</w:t>
            </w:r>
          </w:p>
        </w:tc>
      </w:tr>
      <w:tr>
        <w:tc>
          <w:tcPr>
            <w:tcW w:type="dxa" w:w="3369"/>
          </w:tcPr>
          <w:p>
            <w:pPr>
              <w:pStyle w:val="Compact"/>
              <w:spacing w:before="40" w:after="40"/>
              <w:jc w:val="left"/>
            </w:pPr>
            <w:r>
              <w:rPr>
                <w:bCs/>
                <w:rFonts w:ascii="Arial" w:hAnsi="Arial"/>
                <w:b/>
                <w:sz w:val="20"/>
              </w:rPr>
              <w:t xml:space="preserve">Terms</w:t>
            </w:r>
          </w:p>
        </w:tc>
        <w:tc>
          <w:tcPr>
            <w:tcW w:type="dxa" w:w="2620"/>
          </w:tcPr>
          <w:p>
            <w:pPr>
              <w:pStyle w:val="Compact"/>
              <w:spacing w:before="40" w:after="40"/>
              <w:jc w:val="left"/>
            </w:pPr>
            <w:r>
              <w:rPr>
                <w:rFonts w:ascii="Arial" w:hAnsi="Arial"/>
                <w:sz w:val="20"/>
              </w:rPr>
              <w:t xml:space="preserve">terms</w:t>
            </w:r>
          </w:p>
        </w:tc>
        <w:tc>
          <w:tcPr>
            <w:tcW w:type="dxa" w:w="3369"/>
          </w:tcPr>
          <w:p>
            <w:pPr>
              <w:pStyle w:val="Compact"/>
              <w:spacing w:before="40" w:after="40"/>
              <w:jc w:val="left"/>
            </w:pPr>
            <w:r>
              <w:rPr>
                <w:rFonts w:ascii="Arial" w:hAnsi="Arial"/>
                <w:sz w:val="20"/>
              </w:rPr>
              <w:t xml:space="preserve">Sage term, else Ramp net terms, mapped to the NetSuite list (Due on Receipt, Net 10, Net 15, Net 30, Net 45, Net 60, Net 150). 132 vendors have terms in Sage</w:t>
            </w:r>
          </w:p>
        </w:tc>
      </w:tr>
      <w:tr>
        <w:tc>
          <w:tcPr>
            <w:tcW w:type="dxa" w:w="3369"/>
          </w:tcPr>
          <w:p>
            <w:pPr>
              <w:pStyle w:val="Compact"/>
              <w:spacing w:before="40" w:after="40"/>
              <w:jc w:val="left"/>
            </w:pPr>
            <w:r>
              <w:rPr>
                <w:bCs/>
                <w:rFonts w:ascii="Arial" w:hAnsi="Arial"/>
                <w:b/>
                <w:sz w:val="20"/>
              </w:rPr>
              <w:t xml:space="preserve">Default Expense Account</w:t>
            </w:r>
          </w:p>
        </w:tc>
        <w:tc>
          <w:tcPr>
            <w:tcW w:type="dxa" w:w="2620"/>
          </w:tcPr>
          <w:p>
            <w:pPr>
              <w:pStyle w:val="Compact"/>
              <w:spacing w:before="40" w:after="40"/>
              <w:jc w:val="left"/>
            </w:pPr>
            <w:r>
              <w:rPr>
                <w:rFonts w:ascii="Arial" w:hAnsi="Arial"/>
                <w:sz w:val="20"/>
              </w:rPr>
              <w:t xml:space="preserve">defaultExpenseAccount</w:t>
            </w:r>
          </w:p>
        </w:tc>
        <w:tc>
          <w:tcPr>
            <w:tcW w:type="dxa" w:w="3369"/>
          </w:tcPr>
          <w:p>
            <w:pPr>
              <w:pStyle w:val="Compact"/>
              <w:spacing w:before="40" w:after="40"/>
              <w:jc w:val="left"/>
            </w:pPr>
            <w:r>
              <w:rPr>
                <w:rFonts w:ascii="Arial" w:hAnsi="Arial"/>
                <w:sz w:val="20"/>
              </w:rPr>
              <w:t xml:space="preserve">Sage default expense account, mapped through the Sage# column of COA Draft v1 (for example Sage 62000 to 62600 Consultants). Set on 109 vendors; 2 Sage accounts have no mapping</w:t>
            </w:r>
          </w:p>
        </w:tc>
      </w:tr>
      <w:tr>
        <w:tc>
          <w:tcPr>
            <w:tcW w:type="dxa" w:w="3369"/>
          </w:tcPr>
          <w:p>
            <w:pPr>
              <w:pStyle w:val="Compact"/>
              <w:spacing w:before="40" w:after="40"/>
              <w:jc w:val="left"/>
            </w:pPr>
            <w:r>
              <w:rPr>
                <w:bCs/>
                <w:rFonts w:ascii="Arial" w:hAnsi="Arial"/>
                <w:b/>
                <w:sz w:val="20"/>
              </w:rPr>
              <w:t xml:space="preserve">Default Payables Account</w:t>
            </w:r>
          </w:p>
        </w:tc>
        <w:tc>
          <w:tcPr>
            <w:tcW w:type="dxa" w:w="2620"/>
          </w:tcPr>
          <w:p>
            <w:pPr>
              <w:pStyle w:val="Compact"/>
              <w:spacing w:before="40" w:after="40"/>
              <w:jc w:val="left"/>
            </w:pPr>
            <w:r>
              <w:rPr>
                <w:rFonts w:ascii="Arial" w:hAnsi="Arial"/>
                <w:sz w:val="20"/>
              </w:rPr>
              <w:t xml:space="preserve">defaultPayablesAccount</w:t>
            </w:r>
          </w:p>
        </w:tc>
        <w:tc>
          <w:tcPr>
            <w:tcW w:type="dxa" w:w="3369"/>
          </w:tcPr>
          <w:p>
            <w:pPr>
              <w:pStyle w:val="Compact"/>
              <w:spacing w:before="40" w:after="40"/>
              <w:jc w:val="left"/>
            </w:pPr>
            <w:r>
              <w:rPr>
                <w:rFonts w:ascii="Arial" w:hAnsi="Arial"/>
                <w:sz w:val="20"/>
              </w:rPr>
              <w:t xml:space="preserve">20100 Accounts Payable - Trade</w:t>
            </w:r>
          </w:p>
        </w:tc>
      </w:tr>
      <w:tr>
        <w:tc>
          <w:tcPr>
            <w:tcW w:type="dxa" w:w="3369"/>
          </w:tcPr>
          <w:p>
            <w:pPr>
              <w:pStyle w:val="Compact"/>
              <w:spacing w:before="40" w:after="40"/>
              <w:jc w:val="left"/>
            </w:pPr>
            <w:r>
              <w:rPr>
                <w:bCs/>
                <w:rFonts w:ascii="Arial" w:hAnsi="Arial"/>
                <w:b/>
                <w:sz w:val="20"/>
              </w:rPr>
              <w:t xml:space="preserve">Credit Limit, Incoterm</w:t>
            </w:r>
          </w:p>
        </w:tc>
        <w:tc>
          <w:tcPr>
            <w:tcW w:type="dxa" w:w="2620"/>
          </w:tcPr>
          <w:p>
            <w:pPr>
              <w:pStyle w:val="Compact"/>
              <w:spacing w:before="40" w:after="40"/>
              <w:jc w:val="left"/>
            </w:pPr>
            <w:r>
              <w:rPr>
                <w:rFonts w:ascii="Arial" w:hAnsi="Arial"/>
                <w:sz w:val="20"/>
              </w:rPr>
              <w:t xml:space="preserve">creditLimit, incoterm</w:t>
            </w:r>
          </w:p>
        </w:tc>
        <w:tc>
          <w:tcPr>
            <w:tcW w:type="dxa" w:w="3369"/>
          </w:tcPr>
          <w:p>
            <w:pPr>
              <w:pStyle w:val="Compact"/>
              <w:spacing w:before="40" w:after="40"/>
              <w:jc w:val="left"/>
            </w:pPr>
            <w:r>
              <w:rPr>
                <w:rFonts w:ascii="Arial" w:hAnsi="Arial"/>
                <w:sz w:val="20"/>
              </w:rPr>
              <w:t xml:space="preserve">Blank. Sage has none</w:t>
            </w:r>
          </w:p>
        </w:tc>
      </w:tr>
      <w:tr>
        <w:tc>
          <w:tcPr>
            <w:tcW w:type="dxa" w:w="3369"/>
          </w:tcPr>
          <w:p>
            <w:pPr>
              <w:pStyle w:val="Compact"/>
              <w:spacing w:before="40" w:after="40"/>
              <w:jc w:val="left"/>
            </w:pPr>
            <w:r>
              <w:rPr>
                <w:bCs/>
                <w:rFonts w:ascii="Arial" w:hAnsi="Arial"/>
                <w:b/>
                <w:sz w:val="20"/>
              </w:rPr>
              <w:t xml:space="preserve">Tax ID</w:t>
            </w:r>
          </w:p>
        </w:tc>
        <w:tc>
          <w:tcPr>
            <w:tcW w:type="dxa" w:w="2620"/>
          </w:tcPr>
          <w:p>
            <w:pPr>
              <w:pStyle w:val="Compact"/>
              <w:spacing w:before="40" w:after="40"/>
              <w:jc w:val="left"/>
            </w:pPr>
            <w:r>
              <w:rPr>
                <w:rFonts w:ascii="Arial" w:hAnsi="Arial"/>
                <w:sz w:val="20"/>
              </w:rPr>
              <w:t xml:space="preserve">taxIdNum</w:t>
            </w:r>
          </w:p>
        </w:tc>
        <w:tc>
          <w:tcPr>
            <w:tcW w:type="dxa" w:w="3369"/>
          </w:tcPr>
          <w:p>
            <w:pPr>
              <w:pStyle w:val="Compact"/>
              <w:spacing w:before="40" w:after="40"/>
              <w:jc w:val="left"/>
            </w:pPr>
            <w:r>
              <w:rPr>
                <w:rFonts w:ascii="Arial" w:hAnsi="Arial"/>
                <w:sz w:val="20"/>
              </w:rPr>
              <w:t xml:space="preserve">Sage tax ID (232), else Ramp TIN (140). In the load file; masked to the last 4 digits on review pages</w:t>
            </w:r>
          </w:p>
        </w:tc>
      </w:tr>
      <w:tr>
        <w:tc>
          <w:tcPr>
            <w:tcW w:type="dxa" w:w="3369"/>
          </w:tcPr>
          <w:p>
            <w:pPr>
              <w:pStyle w:val="Compact"/>
              <w:spacing w:before="40" w:after="40"/>
              <w:jc w:val="left"/>
            </w:pPr>
            <w:r>
              <w:rPr>
                <w:bCs/>
                <w:rFonts w:ascii="Arial" w:hAnsi="Arial"/>
                <w:b/>
                <w:sz w:val="20"/>
              </w:rPr>
              <w:t xml:space="preserve">1099 Eligible</w:t>
            </w:r>
          </w:p>
        </w:tc>
        <w:tc>
          <w:tcPr>
            <w:tcW w:type="dxa" w:w="2620"/>
          </w:tcPr>
          <w:p>
            <w:pPr>
              <w:pStyle w:val="Compact"/>
              <w:spacing w:before="40" w:after="40"/>
              <w:jc w:val="left"/>
            </w:pPr>
            <w:r>
              <w:rPr>
                <w:rFonts w:ascii="Arial" w:hAnsi="Arial"/>
                <w:sz w:val="20"/>
              </w:rPr>
              <w:t xml:space="preserve">is1099Eligible</w:t>
            </w:r>
          </w:p>
        </w:tc>
        <w:tc>
          <w:tcPr>
            <w:tcW w:type="dxa" w:w="3369"/>
          </w:tcPr>
          <w:p>
            <w:pPr>
              <w:pStyle w:val="Compact"/>
              <w:spacing w:before="40" w:after="40"/>
              <w:jc w:val="left"/>
            </w:pPr>
            <w:r>
              <w:rPr>
                <w:rFonts w:ascii="Arial" w:hAnsi="Arial"/>
                <w:sz w:val="20"/>
              </w:rPr>
              <w:t xml:space="preserve">TRUE when Sage has a Form 1099 type (21) or the vendor type is 1099 Vendor (88)</w:t>
            </w:r>
          </w:p>
        </w:tc>
      </w:tr>
      <w:tr>
        <w:tc>
          <w:tcPr>
            <w:tcW w:type="dxa" w:w="3369"/>
          </w:tcPr>
          <w:p>
            <w:pPr>
              <w:pStyle w:val="Compact"/>
              <w:spacing w:before="40" w:after="40"/>
              <w:jc w:val="left"/>
            </w:pPr>
            <w:r>
              <w:rPr>
                <w:bCs/>
                <w:rFonts w:ascii="Arial" w:hAnsi="Arial"/>
                <w:b/>
                <w:sz w:val="20"/>
              </w:rPr>
              <w:t xml:space="preserve">Vendor Bill tolerances (6 columns)</w:t>
            </w:r>
          </w:p>
        </w:tc>
        <w:tc>
          <w:tcPr>
            <w:tcW w:type="dxa" w:w="2620"/>
          </w:tcPr>
          <w:p>
            <w:pPr>
              <w:pStyle w:val="Compact"/>
              <w:spacing w:before="40" w:after="40"/>
              <w:jc w:val="left"/>
            </w:pPr>
            <w:r>
              <w:rPr>
                <w:rFonts w:ascii="Arial" w:hAnsi="Arial"/>
                <w:sz w:val="20"/>
              </w:rPr>
              <w:t xml:space="preserve">purchaseorder</w:t>
            </w:r>
            <w:r>
              <w:rPr>
                <w:iCs/>
                <w:rFonts w:ascii="Arial" w:hAnsi="Arial"/>
                <w:i/>
                <w:sz w:val="20"/>
              </w:rPr>
              <w:t xml:space="preserve">, receipt</w:t>
            </w:r>
          </w:p>
        </w:tc>
        <w:tc>
          <w:tcPr>
            <w:tcW w:type="dxa" w:w="3369"/>
          </w:tcPr>
          <w:p>
            <w:pPr>
              <w:pStyle w:val="Compact"/>
              <w:spacing w:before="40" w:after="40"/>
              <w:jc w:val="left"/>
            </w:pPr>
            <w:r>
              <w:rPr>
                <w:rFonts w:ascii="Arial" w:hAnsi="Arial"/>
                <w:sz w:val="20"/>
              </w:rPr>
              <w:t xml:space="preserve">Blank. MinIO does not use purchase orders or item receipts</w:t>
            </w:r>
          </w:p>
        </w:tc>
      </w:tr>
      <w:tr>
        <w:tc>
          <w:tcPr>
            <w:tcW w:type="dxa" w:w="3369"/>
          </w:tcPr>
          <w:p>
            <w:pPr>
              <w:pStyle w:val="Compact"/>
              <w:spacing w:before="40" w:after="40"/>
              <w:jc w:val="left"/>
            </w:pPr>
            <w:r>
              <w:rPr>
                <w:bCs/>
                <w:rFonts w:ascii="Arial" w:hAnsi="Arial"/>
                <w:b/>
                <w:sz w:val="20"/>
              </w:rPr>
              <w:t xml:space="preserve">Primary Currency</w:t>
            </w:r>
          </w:p>
        </w:tc>
        <w:tc>
          <w:tcPr>
            <w:tcW w:type="dxa" w:w="2620"/>
          </w:tcPr>
          <w:p>
            <w:pPr>
              <w:pStyle w:val="Compact"/>
              <w:spacing w:before="40" w:after="40"/>
              <w:jc w:val="left"/>
            </w:pPr>
            <w:r>
              <w:rPr>
                <w:rFonts w:ascii="Arial" w:hAnsi="Arial"/>
                <w:sz w:val="20"/>
              </w:rPr>
              <w:t xml:space="preserve">currency</w:t>
            </w:r>
          </w:p>
        </w:tc>
        <w:tc>
          <w:tcPr>
            <w:tcW w:type="dxa" w:w="3369"/>
          </w:tcPr>
          <w:p>
            <w:pPr>
              <w:pStyle w:val="Compact"/>
              <w:spacing w:before="40" w:after="40"/>
              <w:jc w:val="left"/>
            </w:pPr>
            <w:r>
              <w:rPr>
                <w:rFonts w:ascii="Arial" w:hAnsi="Arial"/>
                <w:sz w:val="20"/>
              </w:rPr>
              <w:t xml:space="preserve">Sage default currency, else USD</w:t>
            </w:r>
          </w:p>
        </w:tc>
      </w:tr>
      <w:tr>
        <w:tc>
          <w:tcPr>
            <w:tcW w:type="dxa" w:w="3369"/>
          </w:tcPr>
          <w:p>
            <w:pPr>
              <w:pStyle w:val="Compact"/>
              <w:spacing w:before="40" w:after="40"/>
              <w:jc w:val="left"/>
            </w:pPr>
            <w:r>
              <w:rPr>
                <w:bCs/>
                <w:rFonts w:ascii="Arial" w:hAnsi="Arial"/>
                <w:b/>
                <w:sz w:val="20"/>
              </w:rPr>
              <w:t xml:space="preserve">Additional Currency 1, 2</w:t>
            </w:r>
          </w:p>
        </w:tc>
        <w:tc>
          <w:tcPr>
            <w:tcW w:type="dxa" w:w="2620"/>
          </w:tcPr>
          <w:p>
            <w:pPr>
              <w:pStyle w:val="Compact"/>
              <w:spacing w:before="40" w:after="40"/>
              <w:jc w:val="left"/>
            </w:pPr>
            <w:r>
              <w:rPr>
                <w:rFonts w:ascii="Arial" w:hAnsi="Arial"/>
                <w:sz w:val="20"/>
              </w:rPr>
              <w:t xml:space="preserve">additionalCurrency1, 2</w:t>
            </w:r>
          </w:p>
        </w:tc>
        <w:tc>
          <w:tcPr>
            <w:tcW w:type="dxa" w:w="3369"/>
          </w:tcPr>
          <w:p>
            <w:pPr>
              <w:pStyle w:val="Compact"/>
              <w:spacing w:before="40" w:after="40"/>
              <w:jc w:val="left"/>
            </w:pPr>
            <w:r>
              <w:rPr>
                <w:rFonts w:ascii="Arial" w:hAnsi="Arial"/>
                <w:sz w:val="20"/>
              </w:rPr>
              <w:t xml:space="preserve">Blank</w:t>
            </w:r>
          </w:p>
        </w:tc>
      </w:tr>
      <w:tr>
        <w:tc>
          <w:tcPr>
            <w:tcW w:type="dxa" w:w="3369"/>
          </w:tcPr>
          <w:p>
            <w:pPr>
              <w:pStyle w:val="Compact"/>
              <w:spacing w:before="40" w:after="40"/>
              <w:jc w:val="left"/>
            </w:pPr>
            <w:r>
              <w:rPr>
                <w:bCs/>
                <w:rFonts w:ascii="Arial" w:hAnsi="Arial"/>
                <w:b/>
                <w:sz w:val="20"/>
              </w:rPr>
              <w:t xml:space="preserve">Legacy Vendor ID</w:t>
            </w:r>
          </w:p>
        </w:tc>
        <w:tc>
          <w:tcPr>
            <w:tcW w:type="dxa" w:w="2620"/>
          </w:tcPr>
          <w:p>
            <w:pPr>
              <w:pStyle w:val="Compact"/>
              <w:spacing w:before="40" w:after="40"/>
              <w:jc w:val="left"/>
            </w:pPr>
            <w:r>
              <w:rPr>
                <w:rFonts w:ascii="Arial" w:hAnsi="Arial"/>
                <w:sz w:val="20"/>
              </w:rPr>
              <w:t xml:space="preserve">Legacy Vendor ID</w:t>
            </w:r>
          </w:p>
        </w:tc>
        <w:tc>
          <w:tcPr>
            <w:tcW w:type="dxa" w:w="3369"/>
          </w:tcPr>
          <w:p>
            <w:pPr>
              <w:pStyle w:val="Compact"/>
              <w:spacing w:before="40" w:after="40"/>
              <w:jc w:val="left"/>
            </w:pPr>
            <w:r>
              <w:rPr>
                <w:rFonts w:ascii="Arial" w:hAnsi="Arial"/>
                <w:sz w:val="20"/>
              </w:rPr>
              <w:t xml:space="preserve">Sage vendor ID as it is in Sage</w:t>
            </w:r>
          </w:p>
        </w:tc>
      </w:tr>
      <w:tr>
        <w:tc>
          <w:tcPr>
            <w:tcW w:type="dxa" w:w="3369"/>
          </w:tcPr>
          <w:p>
            <w:pPr>
              <w:pStyle w:val="Compact"/>
              <w:spacing w:before="40" w:after="40"/>
              <w:jc w:val="left"/>
            </w:pPr>
            <w:r>
              <w:rPr>
                <w:bCs/>
                <w:rFonts w:ascii="Arial" w:hAnsi="Arial"/>
                <w:b/>
                <w:sz w:val="20"/>
              </w:rPr>
              <w:t xml:space="preserve">Source System</w:t>
            </w:r>
          </w:p>
        </w:tc>
        <w:tc>
          <w:tcPr>
            <w:tcW w:type="dxa" w:w="2620"/>
          </w:tcPr>
          <w:p>
            <w:pPr>
              <w:pStyle w:val="Compact"/>
              <w:spacing w:before="40" w:after="40"/>
              <w:jc w:val="left"/>
            </w:pPr>
            <w:r>
              <w:rPr>
                <w:rFonts w:ascii="Arial" w:hAnsi="Arial"/>
                <w:sz w:val="20"/>
              </w:rPr>
              <w:t xml:space="preserve">Source System</w:t>
            </w:r>
          </w:p>
        </w:tc>
        <w:tc>
          <w:tcPr>
            <w:tcW w:type="dxa" w:w="3369"/>
          </w:tcPr>
          <w:p>
            <w:pPr>
              <w:pStyle w:val="Compact"/>
              <w:spacing w:before="40" w:after="40"/>
              <w:jc w:val="left"/>
            </w:pPr>
            <w:r>
              <w:rPr>
                <w:rFonts w:ascii="Arial" w:hAnsi="Arial"/>
                <w:sz w:val="20"/>
              </w:rPr>
              <w:t xml:space="preserve">Sage Intacct, or</w:t>
            </w:r>
            <w:r>
              <w:rPr>
                <w:rFonts w:ascii="Arial" w:hAnsi="Arial"/>
                <w:sz w:val="20"/>
              </w:rPr>
              <w:t xml:space="preserve"> </w:t>
            </w:r>
            <w:r>
              <w:rPr>
                <w:rFonts w:ascii="Arial" w:hAnsi="Arial"/>
                <w:sz w:val="20"/>
              </w:rPr>
              <w:t xml:space="preserve">“</w:t>
            </w:r>
            <w:r>
              <w:rPr>
                <w:rFonts w:ascii="Arial" w:hAnsi="Arial"/>
                <w:sz w:val="20"/>
              </w:rPr>
              <w:t xml:space="preserve">Sage Intacct; Ramp</w:t>
            </w:r>
            <w:r>
              <w:rPr>
                <w:rFonts w:ascii="Arial" w:hAnsi="Arial"/>
                <w:sz w:val="20"/>
              </w:rPr>
              <w:t xml:space="preserve">”</w:t>
            </w:r>
            <w:r>
              <w:rPr>
                <w:rFonts w:ascii="Arial" w:hAnsi="Arial"/>
                <w:sz w:val="20"/>
              </w:rPr>
              <w:t xml:space="preserve"> </w:t>
            </w:r>
            <w:r>
              <w:rPr>
                <w:rFonts w:ascii="Arial" w:hAnsi="Arial"/>
                <w:sz w:val="20"/>
              </w:rPr>
              <w:t xml:space="preserve">where Ramp filled a value</w:t>
            </w:r>
          </w:p>
        </w:tc>
      </w:tr>
    </w:tbl>
    <w:bookmarkStart w:id="21" w:name="added-columns"/>
    <w:p>
      <w:pPr>
        <w:pStyle w:val="Heading2"/>
      </w:pPr>
      <w:r>
        <w:t xml:space="preserve">Added columns</w:t>
      </w:r>
    </w:p>
    <w:p>
      <w:pPr>
        <w:pStyle w:val="FirstParagraph"/>
      </w:pPr>
      <w:r>
        <w:t xml:space="preserve">Not in the template, kept as on the customer load. Source IDs, as custom fields: Sage Vendor ID (as in Sage, also in the template’s Legacy Vendor ID) and Ramp Vendor ID. For review only: Question Categories, Duplicate Action, Ramp Category, Owner, Department, Last activity (latest of Sage last bill, Sage last payment, Ramp last spend), Ramp 365-day spend, Flags.</w:t>
      </w:r>
    </w:p>
    <w:bookmarkEnd w:id="21"/>
    <w:bookmarkEnd w:id="22"/>
    <w:bookmarkStart w:id="23" w:name="scope"/>
    <w:p>
      <w:pPr>
        <w:pStyle w:val="Heading1"/>
      </w:pPr>
      <w:r>
        <w:t xml:space="preserve">Scope</w:t>
      </w:r>
    </w:p>
    <w:p>
      <w:pPr>
        <w:pStyle w:val="FirstParagraph"/>
      </w:pPr>
      <w:r>
        <w:t xml:space="preserve">Sage has 1,770 active vendors, but most have no recorded activity. Activity is the latest of Sage last bill, Sage last payment and Ramp last spend.</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600"/>
        <w:gridCol w:w="1920"/>
        <w:gridCol w:w="1920"/>
        <w:gridCol w:w="1920"/>
      </w:tblGrid>
      <w:tr>
        <w:trPr>
          <w:tblHeader w:val="true"/>
        </w:trPr>
        <w:tc>
          <w:tcPr>
            <w:tcW w:type="dxa" w:w="3600"/>
            <w:shd w:val="clear" w:color="auto" w:fill="1F3B5C"/>
          </w:tcPr>
          <w:p>
            <w:pPr>
              <w:pStyle w:val="Compact"/>
              <w:spacing w:before="40" w:after="40"/>
              <w:jc w:val="left"/>
            </w:pPr>
            <w:r>
              <w:rPr>
                <w:bCs/>
                <w:rFonts w:ascii="Arial" w:hAnsi="Arial"/>
                <w:b/>
                <w:color w:val="FFFFFF"/>
                <w:sz w:val="20"/>
              </w:rPr>
              <w:t xml:space="preserve">Activity</w:t>
            </w:r>
          </w:p>
        </w:tc>
        <w:tc>
          <w:tcPr>
            <w:tcW w:type="dxa" w:w="1920"/>
            <w:shd w:val="clear" w:color="auto" w:fill="1F3B5C"/>
          </w:tcPr>
          <w:p>
            <w:pPr>
              <w:pStyle w:val="Compact"/>
              <w:spacing w:before="40" w:after="40"/>
              <w:jc w:val="left"/>
            </w:pPr>
            <w:r>
              <w:rPr>
                <w:bCs/>
                <w:rFonts w:ascii="Arial" w:hAnsi="Arial"/>
                <w:b/>
                <w:color w:val="FFFFFF"/>
                <w:sz w:val="20"/>
              </w:rPr>
              <w:t xml:space="preserve">In Ramp</w:t>
            </w:r>
          </w:p>
        </w:tc>
        <w:tc>
          <w:tcPr>
            <w:tcW w:type="dxa" w:w="1920"/>
            <w:shd w:val="clear" w:color="auto" w:fill="1F3B5C"/>
          </w:tcPr>
          <w:p>
            <w:pPr>
              <w:pStyle w:val="Compact"/>
              <w:spacing w:before="40" w:after="40"/>
              <w:jc w:val="left"/>
            </w:pPr>
            <w:r>
              <w:rPr>
                <w:bCs/>
                <w:rFonts w:ascii="Arial" w:hAnsi="Arial"/>
                <w:b/>
                <w:color w:val="FFFFFF"/>
                <w:sz w:val="20"/>
              </w:rPr>
              <w:t xml:space="preserve">Not in Ramp</w:t>
            </w:r>
          </w:p>
        </w:tc>
        <w:tc>
          <w:tcPr>
            <w:tcW w:type="dxa" w:w="1920"/>
            <w:shd w:val="clear" w:color="auto" w:fill="1F3B5C"/>
          </w:tcPr>
          <w:p>
            <w:pPr>
              <w:pStyle w:val="Compact"/>
              <w:spacing w:before="40" w:after="40"/>
              <w:jc w:val="left"/>
            </w:pPr>
            <w:r>
              <w:rPr>
                <w:bCs/>
                <w:rFonts w:ascii="Arial" w:hAnsi="Arial"/>
                <w:b/>
                <w:color w:val="FFFFFF"/>
                <w:sz w:val="20"/>
              </w:rPr>
              <w:t xml:space="preserve">Total</w:t>
            </w:r>
          </w:p>
        </w:tc>
      </w:tr>
      <w:tr>
        <w:tc>
          <w:tcPr>
            <w:tcW w:type="dxa" w:w="3600"/>
          </w:tcPr>
          <w:p>
            <w:pPr>
              <w:pStyle w:val="Compact"/>
              <w:spacing w:before="40" w:after="40"/>
              <w:jc w:val="left"/>
            </w:pPr>
            <w:r>
              <w:rPr>
                <w:bCs/>
                <w:rFonts w:ascii="Arial" w:hAnsi="Arial"/>
                <w:b/>
                <w:sz w:val="20"/>
              </w:rPr>
              <w:t xml:space="preserve">Since 2024-10-26</w:t>
            </w:r>
          </w:p>
        </w:tc>
        <w:tc>
          <w:tcPr>
            <w:tcW w:type="dxa" w:w="1920"/>
          </w:tcPr>
          <w:p>
            <w:pPr>
              <w:pStyle w:val="Compact"/>
              <w:spacing w:before="40" w:after="40"/>
              <w:jc w:val="left"/>
            </w:pPr>
            <w:r>
              <w:rPr>
                <w:rFonts w:ascii="Arial" w:hAnsi="Arial"/>
                <w:sz w:val="20"/>
              </w:rPr>
              <w:t xml:space="preserve">478</w:t>
            </w:r>
          </w:p>
        </w:tc>
        <w:tc>
          <w:tcPr>
            <w:tcW w:type="dxa" w:w="1920"/>
          </w:tcPr>
          <w:p>
            <w:pPr>
              <w:pStyle w:val="Compact"/>
              <w:spacing w:before="40" w:after="40"/>
              <w:jc w:val="left"/>
            </w:pPr>
            <w:r>
              <w:rPr>
                <w:rFonts w:ascii="Arial" w:hAnsi="Arial"/>
                <w:sz w:val="20"/>
              </w:rPr>
              <w:t xml:space="preserve">85</w:t>
            </w:r>
          </w:p>
        </w:tc>
        <w:tc>
          <w:tcPr>
            <w:tcW w:type="dxa" w:w="1920"/>
          </w:tcPr>
          <w:p>
            <w:pPr>
              <w:pStyle w:val="Compact"/>
              <w:spacing w:before="40" w:after="40"/>
              <w:jc w:val="left"/>
            </w:pPr>
            <w:r>
              <w:rPr>
                <w:rFonts w:ascii="Arial" w:hAnsi="Arial"/>
                <w:sz w:val="20"/>
              </w:rPr>
              <w:t xml:space="preserve">563</w:t>
            </w:r>
          </w:p>
        </w:tc>
      </w:tr>
      <w:tr>
        <w:tc>
          <w:tcPr>
            <w:tcW w:type="dxa" w:w="3600"/>
          </w:tcPr>
          <w:p>
            <w:pPr>
              <w:pStyle w:val="Compact"/>
              <w:spacing w:before="40" w:after="40"/>
              <w:jc w:val="left"/>
            </w:pPr>
            <w:r>
              <w:rPr>
                <w:bCs/>
                <w:rFonts w:ascii="Arial" w:hAnsi="Arial"/>
                <w:b/>
                <w:sz w:val="20"/>
              </w:rPr>
              <w:t xml:space="preserve">Before 2024-10-26</w:t>
            </w:r>
          </w:p>
        </w:tc>
        <w:tc>
          <w:tcPr>
            <w:tcW w:type="dxa" w:w="1920"/>
          </w:tcPr>
          <w:p>
            <w:pPr>
              <w:pStyle w:val="Compact"/>
              <w:spacing w:before="40" w:after="40"/>
              <w:jc w:val="left"/>
            </w:pPr>
            <w:r>
              <w:rPr>
                <w:rFonts w:ascii="Arial" w:hAnsi="Arial"/>
                <w:sz w:val="20"/>
              </w:rPr>
              <w:t xml:space="preserve">8</w:t>
            </w:r>
          </w:p>
        </w:tc>
        <w:tc>
          <w:tcPr>
            <w:tcW w:type="dxa" w:w="1920"/>
          </w:tcPr>
          <w:p>
            <w:pPr>
              <w:pStyle w:val="Compact"/>
              <w:spacing w:before="40" w:after="40"/>
              <w:jc w:val="left"/>
            </w:pPr>
            <w:r>
              <w:rPr>
                <w:rFonts w:ascii="Arial" w:hAnsi="Arial"/>
                <w:sz w:val="20"/>
              </w:rPr>
              <w:t xml:space="preserve">292</w:t>
            </w:r>
          </w:p>
        </w:tc>
        <w:tc>
          <w:tcPr>
            <w:tcW w:type="dxa" w:w="1920"/>
          </w:tcPr>
          <w:p>
            <w:pPr>
              <w:pStyle w:val="Compact"/>
              <w:spacing w:before="40" w:after="40"/>
              <w:jc w:val="left"/>
            </w:pPr>
            <w:r>
              <w:rPr>
                <w:rFonts w:ascii="Arial" w:hAnsi="Arial"/>
                <w:sz w:val="20"/>
              </w:rPr>
              <w:t xml:space="preserve">300</w:t>
            </w:r>
          </w:p>
        </w:tc>
      </w:tr>
      <w:tr>
        <w:tc>
          <w:tcPr>
            <w:tcW w:type="dxa" w:w="3600"/>
          </w:tcPr>
          <w:p>
            <w:pPr>
              <w:pStyle w:val="Compact"/>
              <w:spacing w:before="40" w:after="40"/>
              <w:jc w:val="left"/>
            </w:pPr>
            <w:r>
              <w:rPr>
                <w:bCs/>
                <w:rFonts w:ascii="Arial" w:hAnsi="Arial"/>
                <w:b/>
                <w:sz w:val="20"/>
              </w:rPr>
              <w:t xml:space="preserve">None recorded</w:t>
            </w:r>
          </w:p>
        </w:tc>
        <w:tc>
          <w:tcPr>
            <w:tcW w:type="dxa" w:w="1920"/>
          </w:tcPr>
          <w:p>
            <w:pPr>
              <w:pStyle w:val="Compact"/>
              <w:spacing w:before="40" w:after="40"/>
              <w:jc w:val="left"/>
            </w:pPr>
            <w:r>
              <w:rPr>
                <w:rFonts w:ascii="Arial" w:hAnsi="Arial"/>
                <w:sz w:val="20"/>
              </w:rPr>
              <w:t xml:space="preserve">65</w:t>
            </w:r>
          </w:p>
        </w:tc>
        <w:tc>
          <w:tcPr>
            <w:tcW w:type="dxa" w:w="1920"/>
          </w:tcPr>
          <w:p>
            <w:pPr>
              <w:pStyle w:val="Compact"/>
              <w:spacing w:before="40" w:after="40"/>
              <w:jc w:val="left"/>
            </w:pPr>
            <w:r>
              <w:rPr>
                <w:rFonts w:ascii="Arial" w:hAnsi="Arial"/>
                <w:sz w:val="20"/>
              </w:rPr>
              <w:t xml:space="preserve">842</w:t>
            </w:r>
          </w:p>
        </w:tc>
        <w:tc>
          <w:tcPr>
            <w:tcW w:type="dxa" w:w="1920"/>
          </w:tcPr>
          <w:p>
            <w:pPr>
              <w:pStyle w:val="Compact"/>
              <w:spacing w:before="40" w:after="40"/>
              <w:jc w:val="left"/>
            </w:pPr>
            <w:r>
              <w:rPr>
                <w:rFonts w:ascii="Arial" w:hAnsi="Arial"/>
                <w:sz w:val="20"/>
              </w:rPr>
              <w:t xml:space="preserve">907</w:t>
            </w:r>
          </w:p>
        </w:tc>
      </w:tr>
      <w:tr>
        <w:tc>
          <w:tcPr>
            <w:tcW w:type="dxa" w:w="3600"/>
          </w:tcPr>
          <w:p>
            <w:pPr>
              <w:pStyle w:val="Compact"/>
              <w:spacing w:before="40" w:after="40"/>
              <w:jc w:val="left"/>
            </w:pPr>
            <w:r>
              <w:rPr>
                <w:bCs/>
                <w:rFonts w:ascii="Arial" w:hAnsi="Arial"/>
                <w:b/>
                <w:sz w:val="20"/>
              </w:rPr>
              <w:t xml:space="preserve">Total</w:t>
            </w:r>
          </w:p>
        </w:tc>
        <w:tc>
          <w:tcPr>
            <w:tcW w:type="dxa" w:w="1920"/>
          </w:tcPr>
          <w:p>
            <w:pPr>
              <w:pStyle w:val="Compact"/>
              <w:spacing w:before="40" w:after="40"/>
              <w:jc w:val="left"/>
            </w:pPr>
            <w:r>
              <w:rPr>
                <w:rFonts w:ascii="Arial" w:hAnsi="Arial"/>
                <w:sz w:val="20"/>
              </w:rPr>
              <w:t xml:space="preserve">551</w:t>
            </w:r>
          </w:p>
        </w:tc>
        <w:tc>
          <w:tcPr>
            <w:tcW w:type="dxa" w:w="1920"/>
          </w:tcPr>
          <w:p>
            <w:pPr>
              <w:pStyle w:val="Compact"/>
              <w:spacing w:before="40" w:after="40"/>
              <w:jc w:val="left"/>
            </w:pPr>
            <w:r>
              <w:rPr>
                <w:rFonts w:ascii="Arial" w:hAnsi="Arial"/>
                <w:sz w:val="20"/>
              </w:rPr>
              <w:t xml:space="preserve">1,219</w:t>
            </w:r>
          </w:p>
        </w:tc>
        <w:tc>
          <w:tcPr>
            <w:tcW w:type="dxa" w:w="1920"/>
          </w:tcPr>
          <w:p>
            <w:pPr>
              <w:pStyle w:val="Compact"/>
              <w:spacing w:before="40" w:after="40"/>
              <w:jc w:val="left"/>
            </w:pPr>
            <w:r>
              <w:rPr>
                <w:rFonts w:ascii="Arial" w:hAnsi="Arial"/>
                <w:sz w:val="20"/>
              </w:rPr>
              <w:t xml:space="preserve">1,770</w:t>
            </w:r>
          </w:p>
        </w:tc>
      </w:tr>
    </w:tbl>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456"/>
        <w:gridCol w:w="3024"/>
        <w:gridCol w:w="2880"/>
      </w:tblGrid>
      <w:tr>
        <w:trPr>
          <w:tblHeader w:val="true"/>
        </w:trPr>
        <w:tc>
          <w:tcPr>
            <w:tcW w:type="dxa" w:w="3456"/>
            <w:shd w:val="clear" w:color="auto" w:fill="1F3B5C"/>
          </w:tcPr>
          <w:p>
            <w:pPr>
              <w:pStyle w:val="Compact"/>
              <w:spacing w:before="40" w:after="40"/>
              <w:jc w:val="left"/>
            </w:pPr>
            <w:r>
              <w:rPr>
                <w:bCs/>
                <w:rFonts w:ascii="Arial" w:hAnsi="Arial"/>
                <w:b/>
                <w:color w:val="FFFFFF"/>
                <w:sz w:val="20"/>
              </w:rPr>
              <w:t xml:space="preserve">Sage vendor type</w:t>
            </w:r>
          </w:p>
        </w:tc>
        <w:tc>
          <w:tcPr>
            <w:tcW w:type="dxa" w:w="3024"/>
            <w:shd w:val="clear" w:color="auto" w:fill="1F3B5C"/>
          </w:tcPr>
          <w:p>
            <w:pPr>
              <w:pStyle w:val="Compact"/>
              <w:spacing w:before="40" w:after="40"/>
              <w:jc w:val="left"/>
            </w:pPr>
            <w:r>
              <w:rPr>
                <w:bCs/>
                <w:rFonts w:ascii="Arial" w:hAnsi="Arial"/>
                <w:b/>
                <w:color w:val="FFFFFF"/>
                <w:sz w:val="20"/>
              </w:rPr>
              <w:t xml:space="preserve">Vendors</w:t>
            </w:r>
          </w:p>
        </w:tc>
        <w:tc>
          <w:tcPr>
            <w:tcW w:type="dxa" w:w="2880"/>
            <w:shd w:val="clear" w:color="auto" w:fill="1F3B5C"/>
          </w:tcPr>
          <w:p>
            <w:pPr>
              <w:pStyle w:val="Compact"/>
              <w:spacing w:before="40" w:after="40"/>
              <w:jc w:val="left"/>
            </w:pPr>
            <w:r>
              <w:rPr>
                <w:bCs/>
                <w:rFonts w:ascii="Arial" w:hAnsi="Arial"/>
                <w:b/>
                <w:color w:val="FFFFFF"/>
                <w:sz w:val="20"/>
              </w:rPr>
              <w:t xml:space="preserve">Never billed in Sage</w:t>
            </w:r>
          </w:p>
        </w:tc>
      </w:tr>
      <w:tr>
        <w:tc>
          <w:tcPr>
            <w:tcW w:type="dxa" w:w="3456"/>
          </w:tcPr>
          <w:p>
            <w:pPr>
              <w:pStyle w:val="Compact"/>
              <w:spacing w:before="40" w:after="40"/>
              <w:jc w:val="left"/>
            </w:pPr>
            <w:r>
              <w:rPr>
                <w:bCs/>
                <w:rFonts w:ascii="Arial" w:hAnsi="Arial"/>
                <w:b/>
                <w:sz w:val="20"/>
              </w:rPr>
              <w:t xml:space="preserve">Blank</w:t>
            </w:r>
          </w:p>
        </w:tc>
        <w:tc>
          <w:tcPr>
            <w:tcW w:type="dxa" w:w="3024"/>
          </w:tcPr>
          <w:p>
            <w:pPr>
              <w:pStyle w:val="Compact"/>
              <w:spacing w:before="40" w:after="40"/>
              <w:jc w:val="left"/>
            </w:pPr>
            <w:r>
              <w:rPr>
                <w:rFonts w:ascii="Arial" w:hAnsi="Arial"/>
                <w:sz w:val="20"/>
              </w:rPr>
              <w:t xml:space="preserve">922</w:t>
            </w:r>
          </w:p>
        </w:tc>
        <w:tc>
          <w:tcPr>
            <w:tcW w:type="dxa" w:w="2880"/>
          </w:tcPr>
          <w:p>
            <w:pPr>
              <w:pStyle w:val="Compact"/>
              <w:spacing w:before="40" w:after="40"/>
              <w:jc w:val="left"/>
            </w:pPr>
            <w:r>
              <w:rPr>
                <w:rFonts w:ascii="Arial" w:hAnsi="Arial"/>
                <w:sz w:val="20"/>
              </w:rPr>
              <w:t xml:space="preserve">565</w:t>
            </w:r>
          </w:p>
        </w:tc>
      </w:tr>
      <w:tr>
        <w:tc>
          <w:tcPr>
            <w:tcW w:type="dxa" w:w="3456"/>
          </w:tcPr>
          <w:p>
            <w:pPr>
              <w:pStyle w:val="Compact"/>
              <w:spacing w:before="40" w:after="40"/>
              <w:jc w:val="left"/>
            </w:pPr>
            <w:r>
              <w:rPr>
                <w:bCs/>
                <w:rFonts w:ascii="Arial" w:hAnsi="Arial"/>
                <w:b/>
                <w:sz w:val="20"/>
              </w:rPr>
              <w:t xml:space="preserve">Credit Cards</w:t>
            </w:r>
          </w:p>
        </w:tc>
        <w:tc>
          <w:tcPr>
            <w:tcW w:type="dxa" w:w="3024"/>
          </w:tcPr>
          <w:p>
            <w:pPr>
              <w:pStyle w:val="Compact"/>
              <w:spacing w:before="40" w:after="40"/>
              <w:jc w:val="left"/>
            </w:pPr>
            <w:r>
              <w:rPr>
                <w:rFonts w:ascii="Arial" w:hAnsi="Arial"/>
                <w:sz w:val="20"/>
              </w:rPr>
              <w:t xml:space="preserve">427</w:t>
            </w:r>
          </w:p>
        </w:tc>
        <w:tc>
          <w:tcPr>
            <w:tcW w:type="dxa" w:w="2880"/>
          </w:tcPr>
          <w:p>
            <w:pPr>
              <w:pStyle w:val="Compact"/>
              <w:spacing w:before="40" w:after="40"/>
              <w:jc w:val="left"/>
            </w:pPr>
            <w:r>
              <w:rPr>
                <w:rFonts w:ascii="Arial" w:hAnsi="Arial"/>
                <w:sz w:val="20"/>
              </w:rPr>
              <w:t xml:space="preserve">418</w:t>
            </w:r>
          </w:p>
        </w:tc>
      </w:tr>
      <w:tr>
        <w:tc>
          <w:tcPr>
            <w:tcW w:type="dxa" w:w="3456"/>
          </w:tcPr>
          <w:p>
            <w:pPr>
              <w:pStyle w:val="Compact"/>
              <w:spacing w:before="40" w:after="40"/>
              <w:jc w:val="left"/>
            </w:pPr>
            <w:r>
              <w:rPr>
                <w:bCs/>
                <w:rFonts w:ascii="Arial" w:hAnsi="Arial"/>
                <w:b/>
                <w:sz w:val="20"/>
              </w:rPr>
              <w:t xml:space="preserve">MinIO employee</w:t>
            </w:r>
          </w:p>
        </w:tc>
        <w:tc>
          <w:tcPr>
            <w:tcW w:type="dxa" w:w="3024"/>
          </w:tcPr>
          <w:p>
            <w:pPr>
              <w:pStyle w:val="Compact"/>
              <w:spacing w:before="40" w:after="40"/>
              <w:jc w:val="left"/>
            </w:pPr>
            <w:r>
              <w:rPr>
                <w:rFonts w:ascii="Arial" w:hAnsi="Arial"/>
                <w:sz w:val="20"/>
              </w:rPr>
              <w:t xml:space="preserve">136</w:t>
            </w:r>
          </w:p>
        </w:tc>
        <w:tc>
          <w:tcPr>
            <w:tcW w:type="dxa" w:w="2880"/>
          </w:tcPr>
          <w:p>
            <w:pPr>
              <w:pStyle w:val="Compact"/>
              <w:spacing w:before="40" w:after="40"/>
              <w:jc w:val="left"/>
            </w:pPr>
            <w:r>
              <w:rPr>
                <w:rFonts w:ascii="Arial" w:hAnsi="Arial"/>
                <w:sz w:val="20"/>
              </w:rPr>
              <w:t xml:space="preserve">62</w:t>
            </w:r>
          </w:p>
        </w:tc>
      </w:tr>
      <w:tr>
        <w:tc>
          <w:tcPr>
            <w:tcW w:type="dxa" w:w="3456"/>
          </w:tcPr>
          <w:p>
            <w:pPr>
              <w:pStyle w:val="Compact"/>
              <w:spacing w:before="40" w:after="40"/>
              <w:jc w:val="left"/>
            </w:pPr>
            <w:r>
              <w:rPr>
                <w:bCs/>
                <w:rFonts w:ascii="Arial" w:hAnsi="Arial"/>
                <w:b/>
                <w:sz w:val="20"/>
              </w:rPr>
              <w:t xml:space="preserve">AR reseller</w:t>
            </w:r>
          </w:p>
        </w:tc>
        <w:tc>
          <w:tcPr>
            <w:tcW w:type="dxa" w:w="3024"/>
          </w:tcPr>
          <w:p>
            <w:pPr>
              <w:pStyle w:val="Compact"/>
              <w:spacing w:before="40" w:after="40"/>
              <w:jc w:val="left"/>
            </w:pPr>
            <w:r>
              <w:rPr>
                <w:rFonts w:ascii="Arial" w:hAnsi="Arial"/>
                <w:sz w:val="20"/>
              </w:rPr>
              <w:t xml:space="preserve">127</w:t>
            </w:r>
          </w:p>
        </w:tc>
        <w:tc>
          <w:tcPr>
            <w:tcW w:type="dxa" w:w="2880"/>
          </w:tcPr>
          <w:p>
            <w:pPr>
              <w:pStyle w:val="Compact"/>
              <w:spacing w:before="40" w:after="40"/>
              <w:jc w:val="left"/>
            </w:pPr>
            <w:r>
              <w:rPr>
                <w:rFonts w:ascii="Arial" w:hAnsi="Arial"/>
                <w:sz w:val="20"/>
              </w:rPr>
              <w:t xml:space="preserve">125</w:t>
            </w:r>
          </w:p>
        </w:tc>
      </w:tr>
      <w:tr>
        <w:tc>
          <w:tcPr>
            <w:tcW w:type="dxa" w:w="3456"/>
          </w:tcPr>
          <w:p>
            <w:pPr>
              <w:pStyle w:val="Compact"/>
              <w:spacing w:before="40" w:after="40"/>
              <w:jc w:val="left"/>
            </w:pPr>
            <w:r>
              <w:rPr>
                <w:bCs/>
                <w:rFonts w:ascii="Arial" w:hAnsi="Arial"/>
                <w:b/>
                <w:sz w:val="20"/>
              </w:rPr>
              <w:t xml:space="preserve">1099 Vendor</w:t>
            </w:r>
          </w:p>
        </w:tc>
        <w:tc>
          <w:tcPr>
            <w:tcW w:type="dxa" w:w="3024"/>
          </w:tcPr>
          <w:p>
            <w:pPr>
              <w:pStyle w:val="Compact"/>
              <w:spacing w:before="40" w:after="40"/>
              <w:jc w:val="left"/>
            </w:pPr>
            <w:r>
              <w:rPr>
                <w:rFonts w:ascii="Arial" w:hAnsi="Arial"/>
                <w:sz w:val="20"/>
              </w:rPr>
              <w:t xml:space="preserve">88</w:t>
            </w:r>
          </w:p>
        </w:tc>
        <w:tc>
          <w:tcPr>
            <w:tcW w:type="dxa" w:w="2880"/>
          </w:tcPr>
          <w:p>
            <w:pPr>
              <w:pStyle w:val="Compact"/>
              <w:spacing w:before="40" w:after="40"/>
              <w:jc w:val="left"/>
            </w:pPr>
            <w:r>
              <w:rPr>
                <w:rFonts w:ascii="Arial" w:hAnsi="Arial"/>
                <w:sz w:val="20"/>
              </w:rPr>
              <w:t xml:space="preserve">17</w:t>
            </w:r>
          </w:p>
        </w:tc>
      </w:tr>
      <w:tr>
        <w:tc>
          <w:tcPr>
            <w:tcW w:type="dxa" w:w="3456"/>
          </w:tcPr>
          <w:p>
            <w:pPr>
              <w:pStyle w:val="Compact"/>
              <w:spacing w:before="40" w:after="40"/>
              <w:jc w:val="left"/>
            </w:pPr>
            <w:r>
              <w:rPr>
                <w:bCs/>
                <w:rFonts w:ascii="Arial" w:hAnsi="Arial"/>
                <w:b/>
                <w:sz w:val="20"/>
              </w:rPr>
              <w:t xml:space="preserve">Tax</w:t>
            </w:r>
          </w:p>
        </w:tc>
        <w:tc>
          <w:tcPr>
            <w:tcW w:type="dxa" w:w="3024"/>
          </w:tcPr>
          <w:p>
            <w:pPr>
              <w:pStyle w:val="Compact"/>
              <w:spacing w:before="40" w:after="40"/>
              <w:jc w:val="left"/>
            </w:pPr>
            <w:r>
              <w:rPr>
                <w:rFonts w:ascii="Arial" w:hAnsi="Arial"/>
                <w:sz w:val="20"/>
              </w:rPr>
              <w:t xml:space="preserve">28</w:t>
            </w:r>
          </w:p>
        </w:tc>
        <w:tc>
          <w:tcPr>
            <w:tcW w:type="dxa" w:w="2880"/>
          </w:tcPr>
          <w:p>
            <w:pPr>
              <w:pStyle w:val="Compact"/>
              <w:spacing w:before="40" w:after="40"/>
              <w:jc w:val="left"/>
            </w:pPr>
            <w:r>
              <w:rPr>
                <w:rFonts w:ascii="Arial" w:hAnsi="Arial"/>
                <w:sz w:val="20"/>
              </w:rPr>
              <w:t xml:space="preserve">15</w:t>
            </w:r>
          </w:p>
        </w:tc>
      </w:tr>
      <w:tr>
        <w:tc>
          <w:tcPr>
            <w:tcW w:type="dxa" w:w="3456"/>
          </w:tcPr>
          <w:p>
            <w:pPr>
              <w:pStyle w:val="Compact"/>
              <w:spacing w:before="40" w:after="40"/>
              <w:jc w:val="left"/>
            </w:pPr>
            <w:r>
              <w:rPr>
                <w:bCs/>
                <w:rFonts w:ascii="Arial" w:hAnsi="Arial"/>
                <w:b/>
                <w:sz w:val="20"/>
              </w:rPr>
              <w:t xml:space="preserve">Other types</w:t>
            </w:r>
          </w:p>
        </w:tc>
        <w:tc>
          <w:tcPr>
            <w:tcW w:type="dxa" w:w="3024"/>
          </w:tcPr>
          <w:p>
            <w:pPr>
              <w:pStyle w:val="Compact"/>
              <w:spacing w:before="40" w:after="40"/>
              <w:jc w:val="left"/>
            </w:pPr>
            <w:r>
              <w:rPr>
                <w:rFonts w:ascii="Arial" w:hAnsi="Arial"/>
                <w:sz w:val="20"/>
              </w:rPr>
              <w:t xml:space="preserve">42</w:t>
            </w:r>
          </w:p>
        </w:tc>
        <w:tc>
          <w:tcPr>
            <w:tcW w:type="dxa" w:w="2880"/>
          </w:tcPr>
          <w:p>
            <w:pPr>
              <w:pStyle w:val="Compact"/>
              <w:spacing w:before="40" w:after="40"/>
              <w:jc w:val="left"/>
            </w:pPr>
            <w:r>
              <w:rPr>
                <w:rFonts w:ascii="Arial" w:hAnsi="Arial"/>
                <w:sz w:val="20"/>
              </w:rPr>
              <w:t xml:space="preserve">18</w:t>
            </w:r>
          </w:p>
        </w:tc>
      </w:tr>
    </w:tbl>
    <w:p>
      <w:pPr>
        <w:pStyle w:val="BodyText"/>
      </w:pPr>
      <w:r>
        <w:t xml:space="preserve">The export of all active vendors lists 1,775. The 5 not in the detail export are flagged One-time use in Sage. The Sage vendor list report has 1,788: the 1,775 plus 13 inactive.</w:t>
      </w:r>
    </w:p>
    <w:p>
      <w:pPr>
        <w:pStyle w:val="BodyText"/>
      </w:pPr>
      <w:r>
        <w:t xml:space="preserve">27 Ramp vendors have no Sage vendor, for example KPMG LLP, Baker Botts LLP, Oracle America and Navan.</w:t>
      </w:r>
    </w:p>
    <w:bookmarkEnd w:id="23"/>
    <w:bookmarkStart w:id="26" w:name="load-plan"/>
    <w:p>
      <w:pPr>
        <w:pStyle w:val="Heading1"/>
      </w:pPr>
      <w:r>
        <w:t xml:space="preserve">Load plan</w:t>
      </w:r>
    </w:p>
    <w:p>
      <w:pPr>
        <w:pStyle w:val="FirstParagraph"/>
      </w:pPr>
      <w:r>
        <w:t xml:space="preserve">Agreed 2026-10-26: Ramp syncs first, then NetSuite is enriched with what Ramp does not push. Every active Sage vendor ends up in NetSuite.</w:t>
      </w:r>
    </w:p>
    <w:p>
      <w:pPr>
        <w:numPr>
          <w:ilvl w:val="0"/>
          <w:numId w:val="1001"/>
        </w:numPr>
        <w:pStyle w:val="Compact"/>
      </w:pPr>
      <w:r>
        <w:rPr>
          <w:bCs/>
          <w:b/>
        </w:rPr>
        <w:t xml:space="preserve">Ramp sync.</w:t>
      </w:r>
      <w:r>
        <w:t xml:space="preserve"> </w:t>
      </w:r>
      <w:r>
        <w:t xml:space="preserve">Ramp syncs its 578 vendors to NetSuite, including the 27 Ramp vendors not in Sage (added in Ramp from 2025-08 on, 23 with no spend yet).</w:t>
      </w:r>
    </w:p>
    <w:p>
      <w:pPr>
        <w:numPr>
          <w:ilvl w:val="0"/>
          <w:numId w:val="1001"/>
        </w:numPr>
        <w:pStyle w:val="Compact"/>
      </w:pPr>
      <w:r>
        <w:rPr>
          <w:bCs/>
          <w:b/>
        </w:rPr>
        <w:t xml:space="preserve">Sage vendors not in Ramp.</w:t>
      </w:r>
      <w:r>
        <w:t xml:space="preserve"> </w:t>
      </w:r>
      <w:r>
        <w:t xml:space="preserve">This load: the 1,219 active Sage vendors that are not in Ramp, mapped as above.</w:t>
      </w:r>
    </w:p>
    <w:p>
      <w:pPr>
        <w:numPr>
          <w:ilvl w:val="0"/>
          <w:numId w:val="1001"/>
        </w:numPr>
        <w:pStyle w:val="Compact"/>
      </w:pPr>
      <w:r>
        <w:rPr>
          <w:bCs/>
          <w:b/>
        </w:rPr>
        <w:t xml:space="preserve">Enrichment.</w:t>
      </w:r>
      <w:r>
        <w:t xml:space="preserve"> </w:t>
      </w:r>
      <w:r>
        <w:t xml:space="preserve">The 551 vendors in both systems get Sage values Ramp does not hold: Sage Vendor ID, Vendor Category, default expense account, 1099 flag, tax ID where Ramp has none. Ramp-created NetSuite vendors carry no Sage ID, so after the sync the enrichment file is matched to them by Ramp vendor name and Ramp Vendor ID, then re-keyed to the NetSuite internal ID before import.</w:t>
      </w:r>
    </w:p>
    <w:p>
      <w:pPr>
        <w:numPr>
          <w:ilvl w:val="0"/>
          <w:numId w:val="1001"/>
        </w:numPr>
        <w:pStyle w:val="Compact"/>
      </w:pPr>
      <w:r>
        <w:rPr>
          <w:bCs/>
          <w:b/>
        </w:rPr>
        <w:t xml:space="preserve">Bank details.</w:t>
      </w:r>
      <w:r>
        <w:t xml:space="preserve"> </w:t>
      </w:r>
      <w:r>
        <w:t xml:space="preserve">Ramp does not push bank details to NetSuite, so every vendor’s bank details are imported separately: Ramp’s where Ramp has them (Ramp is primary), else Sage’s.</w:t>
      </w:r>
    </w:p>
    <w:bookmarkStart w:id="24" w:name="bank-details"/>
    <w:p>
      <w:pPr>
        <w:pStyle w:val="Heading2"/>
      </w:pPr>
      <w:r>
        <w:t xml:space="preserve">Bank details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4290"/>
        <w:gridCol w:w="5070"/>
      </w:tblGrid>
      <w:tr>
        <w:trPr>
          <w:tblHeader w:val="true"/>
        </w:trPr>
        <w:tc>
          <w:tcPr>
            <w:tcW w:type="dxa" w:w="4290"/>
            <w:shd w:val="clear" w:color="auto" w:fill="1F3B5C"/>
          </w:tcPr>
          <w:p>
            <w:pPr>
              <w:pStyle w:val="Compact"/>
              <w:spacing w:before="40" w:after="40"/>
            </w:pPr>
          </w:p>
        </w:tc>
        <w:tc>
          <w:tcPr>
            <w:tcW w:type="dxa" w:w="5070"/>
            <w:shd w:val="clear" w:color="auto" w:fill="1F3B5C"/>
          </w:tcPr>
          <w:p>
            <w:pPr>
              <w:pStyle w:val="Compact"/>
              <w:spacing w:before="40" w:after="40"/>
              <w:jc w:val="left"/>
            </w:pPr>
            <w:r>
              <w:rPr>
                <w:bCs/>
                <w:rFonts w:ascii="Arial" w:hAnsi="Arial"/>
                <w:b/>
                <w:color w:val="FFFFFF"/>
                <w:sz w:val="20"/>
              </w:rPr>
              <w:t xml:space="preserve">Vendors</w:t>
            </w:r>
          </w:p>
        </w:tc>
      </w:tr>
      <w:tr>
        <w:tc>
          <w:tcPr>
            <w:tcW w:type="dxa" w:w="4290"/>
          </w:tcPr>
          <w:p>
            <w:pPr>
              <w:pStyle w:val="Compact"/>
              <w:spacing w:before="40" w:after="40"/>
              <w:jc w:val="left"/>
            </w:pPr>
            <w:r>
              <w:rPr>
                <w:bCs/>
                <w:rFonts w:ascii="Arial" w:hAnsi="Arial"/>
                <w:b/>
                <w:sz w:val="20"/>
              </w:rPr>
              <w:t xml:space="preserve">ACH details in Sage</w:t>
            </w:r>
          </w:p>
        </w:tc>
        <w:tc>
          <w:tcPr>
            <w:tcW w:type="dxa" w:w="5070"/>
          </w:tcPr>
          <w:p>
            <w:pPr>
              <w:pStyle w:val="Compact"/>
              <w:spacing w:before="40" w:after="40"/>
              <w:jc w:val="left"/>
            </w:pPr>
            <w:r>
              <w:rPr>
                <w:rFonts w:ascii="Arial" w:hAnsi="Arial"/>
                <w:sz w:val="20"/>
              </w:rPr>
              <w:t xml:space="preserve">164</w:t>
            </w:r>
          </w:p>
        </w:tc>
      </w:tr>
      <w:tr>
        <w:tc>
          <w:tcPr>
            <w:tcW w:type="dxa" w:w="4290"/>
          </w:tcPr>
          <w:p>
            <w:pPr>
              <w:pStyle w:val="Compact"/>
              <w:spacing w:before="40" w:after="40"/>
              <w:jc w:val="left"/>
            </w:pPr>
            <w:r>
              <w:rPr>
                <w:bCs/>
                <w:rFonts w:ascii="Arial" w:hAnsi="Arial"/>
                <w:b/>
                <w:sz w:val="20"/>
              </w:rPr>
              <w:t xml:space="preserve">ACH details in Ramp (vendors with a Sage ID)</w:t>
            </w:r>
          </w:p>
        </w:tc>
        <w:tc>
          <w:tcPr>
            <w:tcW w:type="dxa" w:w="5070"/>
          </w:tcPr>
          <w:p>
            <w:pPr>
              <w:pStyle w:val="Compact"/>
              <w:spacing w:before="40" w:after="40"/>
              <w:jc w:val="left"/>
            </w:pPr>
            <w:r>
              <w:rPr>
                <w:rFonts w:ascii="Arial" w:hAnsi="Arial"/>
                <w:sz w:val="20"/>
              </w:rPr>
              <w:t xml:space="preserve">174</w:t>
            </w:r>
          </w:p>
        </w:tc>
      </w:tr>
      <w:tr>
        <w:tc>
          <w:tcPr>
            <w:tcW w:type="dxa" w:w="4290"/>
          </w:tcPr>
          <w:p>
            <w:pPr>
              <w:pStyle w:val="Compact"/>
              <w:spacing w:before="40" w:after="40"/>
              <w:jc w:val="left"/>
            </w:pPr>
            <w:r>
              <w:rPr>
                <w:bCs/>
                <w:rFonts w:ascii="Arial" w:hAnsi="Arial"/>
                <w:b/>
                <w:sz w:val="20"/>
              </w:rPr>
              <w:t xml:space="preserve">In both</w:t>
            </w:r>
          </w:p>
        </w:tc>
        <w:tc>
          <w:tcPr>
            <w:tcW w:type="dxa" w:w="5070"/>
          </w:tcPr>
          <w:p>
            <w:pPr>
              <w:pStyle w:val="Compact"/>
              <w:spacing w:before="40" w:after="40"/>
              <w:jc w:val="left"/>
            </w:pPr>
            <w:r>
              <w:rPr>
                <w:rFonts w:ascii="Arial" w:hAnsi="Arial"/>
                <w:sz w:val="20"/>
              </w:rPr>
              <w:t xml:space="preserve">70 (last 4 digits agree on 65, differ on 5)</w:t>
            </w:r>
          </w:p>
        </w:tc>
      </w:tr>
      <w:tr>
        <w:tc>
          <w:tcPr>
            <w:tcW w:type="dxa" w:w="4290"/>
          </w:tcPr>
          <w:p>
            <w:pPr>
              <w:pStyle w:val="Compact"/>
              <w:spacing w:before="40" w:after="40"/>
              <w:jc w:val="left"/>
            </w:pPr>
            <w:r>
              <w:rPr>
                <w:bCs/>
                <w:rFonts w:ascii="Arial" w:hAnsi="Arial"/>
                <w:b/>
                <w:sz w:val="20"/>
              </w:rPr>
              <w:t xml:space="preserve">Sage only</w:t>
            </w:r>
          </w:p>
        </w:tc>
        <w:tc>
          <w:tcPr>
            <w:tcW w:type="dxa" w:w="5070"/>
          </w:tcPr>
          <w:p>
            <w:pPr>
              <w:pStyle w:val="Compact"/>
              <w:spacing w:before="40" w:after="40"/>
              <w:jc w:val="left"/>
            </w:pPr>
            <w:r>
              <w:rPr>
                <w:rFonts w:ascii="Arial" w:hAnsi="Arial"/>
                <w:sz w:val="20"/>
              </w:rPr>
              <w:t xml:space="preserve">94 (13 in Ramp without bank details, 81 not in Ramp)</w:t>
            </w:r>
          </w:p>
        </w:tc>
      </w:tr>
      <w:tr>
        <w:tc>
          <w:tcPr>
            <w:tcW w:type="dxa" w:w="4290"/>
          </w:tcPr>
          <w:p>
            <w:pPr>
              <w:pStyle w:val="Compact"/>
              <w:spacing w:before="40" w:after="40"/>
              <w:jc w:val="left"/>
            </w:pPr>
            <w:r>
              <w:rPr>
                <w:bCs/>
                <w:rFonts w:ascii="Arial" w:hAnsi="Arial"/>
                <w:b/>
                <w:sz w:val="20"/>
              </w:rPr>
              <w:t xml:space="preserve">Ramp only</w:t>
            </w:r>
          </w:p>
        </w:tc>
        <w:tc>
          <w:tcPr>
            <w:tcW w:type="dxa" w:w="5070"/>
          </w:tcPr>
          <w:p>
            <w:pPr>
              <w:pStyle w:val="Compact"/>
              <w:spacing w:before="40" w:after="40"/>
              <w:jc w:val="left"/>
            </w:pPr>
            <w:r>
              <w:rPr>
                <w:rFonts w:ascii="Arial" w:hAnsi="Arial"/>
                <w:sz w:val="20"/>
              </w:rPr>
              <w:t xml:space="preserve">104</w:t>
            </w:r>
          </w:p>
        </w:tc>
      </w:tr>
    </w:tbl>
    <w:p>
      <w:pPr>
        <w:pStyle w:val="BodyText"/>
      </w:pPr>
      <w:r>
        <w:t xml:space="preserve">Ramp is primary where both exist, including the 5 that differ. The vendor template has no bank fields, so bank details need their own NetSuite import (vendor bank details record): 268 vendors, Ramp’s details for 174 and Sage’s for 94.</w:t>
      </w:r>
    </w:p>
    <w:bookmarkEnd w:id="24"/>
    <w:bookmarkStart w:id="25" w:name="vendor-types-against-ramp"/>
    <w:p>
      <w:pPr>
        <w:pStyle w:val="Heading2"/>
      </w:pPr>
      <w:r>
        <w:t xml:space="preserve">Vendor types against Ramp</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1487"/>
        <w:gridCol w:w="1301"/>
        <w:gridCol w:w="991"/>
        <w:gridCol w:w="5578"/>
      </w:tblGrid>
      <w:tr>
        <w:trPr>
          <w:tblHeader w:val="true"/>
        </w:trPr>
        <w:tc>
          <w:tcPr>
            <w:tcW w:type="dxa" w:w="1487"/>
            <w:shd w:val="clear" w:color="auto" w:fill="1F3B5C"/>
          </w:tcPr>
          <w:p>
            <w:pPr>
              <w:pStyle w:val="Compact"/>
              <w:spacing w:before="40" w:after="40"/>
              <w:jc w:val="left"/>
            </w:pPr>
            <w:r>
              <w:rPr>
                <w:bCs/>
                <w:rFonts w:ascii="Arial" w:hAnsi="Arial"/>
                <w:b/>
                <w:color w:val="FFFFFF"/>
                <w:sz w:val="20"/>
              </w:rPr>
              <w:t xml:space="preserve">Sage vendor type</w:t>
            </w:r>
          </w:p>
        </w:tc>
        <w:tc>
          <w:tcPr>
            <w:tcW w:type="dxa" w:w="1301"/>
            <w:shd w:val="clear" w:color="auto" w:fill="1F3B5C"/>
          </w:tcPr>
          <w:p>
            <w:pPr>
              <w:pStyle w:val="Compact"/>
              <w:spacing w:before="40" w:after="40"/>
              <w:jc w:val="left"/>
            </w:pPr>
            <w:r>
              <w:rPr>
                <w:bCs/>
                <w:rFonts w:ascii="Arial" w:hAnsi="Arial"/>
                <w:b/>
                <w:color w:val="FFFFFF"/>
                <w:sz w:val="20"/>
              </w:rPr>
              <w:t xml:space="preserve">Vendors</w:t>
            </w:r>
          </w:p>
        </w:tc>
        <w:tc>
          <w:tcPr>
            <w:tcW w:type="dxa" w:w="991"/>
            <w:shd w:val="clear" w:color="auto" w:fill="1F3B5C"/>
          </w:tcPr>
          <w:p>
            <w:pPr>
              <w:pStyle w:val="Compact"/>
              <w:spacing w:before="40" w:after="40"/>
              <w:jc w:val="left"/>
            </w:pPr>
            <w:r>
              <w:rPr>
                <w:bCs/>
                <w:rFonts w:ascii="Arial" w:hAnsi="Arial"/>
                <w:b/>
                <w:color w:val="FFFFFF"/>
                <w:sz w:val="20"/>
              </w:rPr>
              <w:t xml:space="preserve">In Ramp</w:t>
            </w:r>
          </w:p>
        </w:tc>
        <w:tc>
          <w:tcPr>
            <w:tcW w:type="dxa" w:w="5578"/>
            <w:shd w:val="clear" w:color="auto" w:fill="1F3B5C"/>
          </w:tcPr>
          <w:p>
            <w:pPr>
              <w:pStyle w:val="Compact"/>
              <w:spacing w:before="40" w:after="40"/>
              <w:jc w:val="left"/>
            </w:pPr>
            <w:r>
              <w:rPr>
                <w:bCs/>
                <w:rFonts w:ascii="Arial" w:hAnsi="Arial"/>
                <w:b/>
                <w:color w:val="FFFFFF"/>
                <w:sz w:val="20"/>
              </w:rPr>
              <w:t xml:space="preserve">Note</w:t>
            </w:r>
          </w:p>
        </w:tc>
      </w:tr>
      <w:tr>
        <w:tc>
          <w:tcPr>
            <w:tcW w:type="dxa" w:w="1487"/>
          </w:tcPr>
          <w:p>
            <w:pPr>
              <w:pStyle w:val="Compact"/>
              <w:spacing w:before="40" w:after="40"/>
              <w:jc w:val="left"/>
            </w:pPr>
            <w:r>
              <w:rPr>
                <w:bCs/>
                <w:rFonts w:ascii="Arial" w:hAnsi="Arial"/>
                <w:b/>
                <w:sz w:val="20"/>
              </w:rPr>
              <w:t xml:space="preserve">Credit Cards</w:t>
            </w:r>
          </w:p>
        </w:tc>
        <w:tc>
          <w:tcPr>
            <w:tcW w:type="dxa" w:w="1301"/>
          </w:tcPr>
          <w:p>
            <w:pPr>
              <w:pStyle w:val="Compact"/>
              <w:spacing w:before="40" w:after="40"/>
              <w:jc w:val="left"/>
            </w:pPr>
            <w:r>
              <w:rPr>
                <w:rFonts w:ascii="Arial" w:hAnsi="Arial"/>
                <w:sz w:val="20"/>
              </w:rPr>
              <w:t xml:space="preserve">427</w:t>
            </w:r>
          </w:p>
        </w:tc>
        <w:tc>
          <w:tcPr>
            <w:tcW w:type="dxa" w:w="991"/>
          </w:tcPr>
          <w:p>
            <w:pPr>
              <w:pStyle w:val="Compact"/>
              <w:spacing w:before="40" w:after="40"/>
              <w:jc w:val="left"/>
            </w:pPr>
            <w:r>
              <w:rPr>
                <w:rFonts w:ascii="Arial" w:hAnsi="Arial"/>
                <w:sz w:val="20"/>
              </w:rPr>
              <w:t xml:space="preserve">123</w:t>
            </w:r>
          </w:p>
        </w:tc>
        <w:tc>
          <w:tcPr>
            <w:tcW w:type="dxa" w:w="5578"/>
          </w:tcPr>
          <w:p>
            <w:pPr>
              <w:pStyle w:val="Compact"/>
              <w:spacing w:before="40" w:after="40"/>
              <w:jc w:val="left"/>
            </w:pPr>
            <w:r>
              <w:rPr>
                <w:rFonts w:ascii="Arial" w:hAnsi="Arial"/>
                <w:sz w:val="20"/>
              </w:rPr>
              <w:t xml:space="preserve">“</w:t>
            </w:r>
            <w:r>
              <w:rPr>
                <w:rFonts w:ascii="Arial" w:hAnsi="Arial"/>
                <w:sz w:val="20"/>
              </w:rPr>
              <w:t xml:space="preserve">Never billed</w:t>
            </w:r>
            <w:r>
              <w:rPr>
                <w:rFonts w:ascii="Arial" w:hAnsi="Arial"/>
                <w:sz w:val="20"/>
              </w:rPr>
              <w:t xml:space="preserve">”</w:t>
            </w:r>
            <w:r>
              <w:rPr>
                <w:rFonts w:ascii="Arial" w:hAnsi="Arial"/>
                <w:sz w:val="20"/>
              </w:rPr>
              <w:t xml:space="preserve"> </w:t>
            </w:r>
            <w:r>
              <w:rPr>
                <w:rFonts w:ascii="Arial" w:hAnsi="Arial"/>
                <w:sz w:val="20"/>
              </w:rPr>
              <w:t xml:space="preserve">means no AP bill in Sage: card purchases are booked from the card feed, not as bills. 122 of the 123 in Ramp have Ramp spend. The other 304 are card merchants from before Ramp, plus the card accounts themselves (for example Mastercard - 3584, CHASE CC - ALL CREDIT CARDS)</w:t>
            </w:r>
          </w:p>
        </w:tc>
      </w:tr>
      <w:tr>
        <w:tc>
          <w:tcPr>
            <w:tcW w:type="dxa" w:w="1487"/>
          </w:tcPr>
          <w:p>
            <w:pPr>
              <w:pStyle w:val="Compact"/>
              <w:spacing w:before="40" w:after="40"/>
              <w:jc w:val="left"/>
            </w:pPr>
            <w:r>
              <w:rPr>
                <w:bCs/>
                <w:rFonts w:ascii="Arial" w:hAnsi="Arial"/>
                <w:b/>
                <w:sz w:val="20"/>
              </w:rPr>
              <w:t xml:space="preserve">MinIO employee</w:t>
            </w:r>
          </w:p>
        </w:tc>
        <w:tc>
          <w:tcPr>
            <w:tcW w:type="dxa" w:w="1301"/>
          </w:tcPr>
          <w:p>
            <w:pPr>
              <w:pStyle w:val="Compact"/>
              <w:spacing w:before="40" w:after="40"/>
              <w:jc w:val="left"/>
            </w:pPr>
            <w:r>
              <w:rPr>
                <w:rFonts w:ascii="Arial" w:hAnsi="Arial"/>
                <w:sz w:val="20"/>
              </w:rPr>
              <w:t xml:space="preserve">136</w:t>
            </w:r>
          </w:p>
        </w:tc>
        <w:tc>
          <w:tcPr>
            <w:tcW w:type="dxa" w:w="991"/>
          </w:tcPr>
          <w:p>
            <w:pPr>
              <w:pStyle w:val="Compact"/>
              <w:spacing w:before="40" w:after="40"/>
              <w:jc w:val="left"/>
            </w:pPr>
            <w:r>
              <w:rPr>
                <w:rFonts w:ascii="Arial" w:hAnsi="Arial"/>
                <w:sz w:val="20"/>
              </w:rPr>
              <w:t xml:space="preserve">1</w:t>
            </w:r>
          </w:p>
        </w:tc>
        <w:tc>
          <w:tcPr>
            <w:tcW w:type="dxa" w:w="5578"/>
          </w:tcPr>
          <w:p>
            <w:pPr>
              <w:pStyle w:val="Compact"/>
              <w:spacing w:before="40" w:after="40"/>
              <w:jc w:val="left"/>
            </w:pPr>
            <w:r>
              <w:rPr>
                <w:rFonts w:ascii="Arial" w:hAnsi="Arial"/>
                <w:sz w:val="20"/>
              </w:rPr>
              <w:t xml:space="preserve">74 were reimbursed through Sage bills. Ramp reimbursements sync to NetSuite as vendor bills with the employee as the vendor (or one default reimbursement vendor), so employee vendor records are the right home</w:t>
            </w:r>
          </w:p>
        </w:tc>
      </w:tr>
      <w:tr>
        <w:tc>
          <w:tcPr>
            <w:tcW w:type="dxa" w:w="1487"/>
          </w:tcPr>
          <w:p>
            <w:pPr>
              <w:pStyle w:val="Compact"/>
              <w:spacing w:before="40" w:after="40"/>
              <w:jc w:val="left"/>
            </w:pPr>
            <w:r>
              <w:rPr>
                <w:bCs/>
                <w:rFonts w:ascii="Arial" w:hAnsi="Arial"/>
                <w:b/>
                <w:sz w:val="20"/>
              </w:rPr>
              <w:t xml:space="preserve">AR reseller</w:t>
            </w:r>
          </w:p>
        </w:tc>
        <w:tc>
          <w:tcPr>
            <w:tcW w:type="dxa" w:w="1301"/>
          </w:tcPr>
          <w:p>
            <w:pPr>
              <w:pStyle w:val="Compact"/>
              <w:spacing w:before="40" w:after="40"/>
              <w:jc w:val="left"/>
            </w:pPr>
            <w:r>
              <w:rPr>
                <w:rFonts w:ascii="Arial" w:hAnsi="Arial"/>
                <w:sz w:val="20"/>
              </w:rPr>
              <w:t xml:space="preserve">127</w:t>
            </w:r>
          </w:p>
        </w:tc>
        <w:tc>
          <w:tcPr>
            <w:tcW w:type="dxa" w:w="991"/>
          </w:tcPr>
          <w:p>
            <w:pPr>
              <w:pStyle w:val="Compact"/>
              <w:spacing w:before="40" w:after="40"/>
              <w:jc w:val="left"/>
            </w:pPr>
            <w:r>
              <w:rPr>
                <w:rFonts w:ascii="Arial" w:hAnsi="Arial"/>
                <w:sz w:val="20"/>
              </w:rPr>
              <w:t xml:space="preserve">9</w:t>
            </w:r>
          </w:p>
        </w:tc>
        <w:tc>
          <w:tcPr>
            <w:tcW w:type="dxa" w:w="5578"/>
          </w:tcPr>
          <w:p>
            <w:pPr>
              <w:pStyle w:val="Compact"/>
              <w:spacing w:before="40" w:after="40"/>
              <w:jc w:val="left"/>
            </w:pPr>
            <w:r>
              <w:rPr>
                <w:rFonts w:ascii="Arial" w:hAnsi="Arial"/>
                <w:sz w:val="20"/>
              </w:rPr>
              <w:t xml:space="preserve">2 billed in Sage</w:t>
            </w:r>
          </w:p>
        </w:tc>
      </w:tr>
    </w:tbl>
    <w:bookmarkEnd w:id="25"/>
    <w:bookmarkEnd w:id="26"/>
    <w:bookmarkStart w:id="27" w:name="open-questions"/>
    <w:p>
      <w:pPr>
        <w:pStyle w:val="Heading1"/>
      </w:pPr>
      <w:r>
        <w:t xml:space="preserve">Open questions</w:t>
      </w:r>
    </w:p>
    <w:p>
      <w:pPr>
        <w:numPr>
          <w:ilvl w:val="0"/>
          <w:numId w:val="1002"/>
        </w:numPr>
        <w:pStyle w:val="Compact"/>
      </w:pPr>
      <w:r>
        <w:rPr>
          <w:bCs/>
          <w:b/>
        </w:rPr>
        <w:t xml:space="preserve">Subsidiary for INR and SGD vendors.</w:t>
      </w:r>
      <w:r>
        <w:t xml:space="preserve"> </w:t>
      </w:r>
      <w:r>
        <w:t xml:space="preserve">None of these has activity in Ramp or bills in Sage. The INR vendors look like MinIO Pvt. Ltd. vendors (India tax, the India office, Indian accountants): V-01301 TDS Tax Payable, V-01311 Universal Actuaries and Benefit Consultants, V-01352 and V-01353 Zoho Corporation Private Limited, V-01354 91 Springboard Business Hub Private Limited, V-01380 Resurgent India Limited, V-01381 National Securities Depository Limited, V-01412 S P Nagarajan, V-01459 Vishnu Daya &amp; Co LLP. SGD: V-00628 Cloud Expo Asia Pte. Ltd. Load them to MinIO Pvt. Ltd. and MinIO Singapore Pte. Ltd., or to MinIO, Inc.? Several INR vendors have United States as their Sage country.</w:t>
      </w:r>
    </w:p>
    <w:p>
      <w:pPr>
        <w:numPr>
          <w:ilvl w:val="0"/>
          <w:numId w:val="1002"/>
        </w:numPr>
        <w:pStyle w:val="Compact"/>
      </w:pPr>
      <w:r>
        <w:rPr>
          <w:bCs/>
          <w:b/>
        </w:rPr>
        <w:t xml:space="preserve">Bank details import.</w:t>
      </w:r>
      <w:r>
        <w:t xml:space="preserve"> </w:t>
      </w:r>
      <w:r>
        <w:t xml:space="preserve">SOA to provide the template for vendor bank details.</w:t>
      </w:r>
    </w:p>
    <w:p>
      <w:pPr>
        <w:numPr>
          <w:ilvl w:val="0"/>
          <w:numId w:val="1002"/>
        </w:numPr>
        <w:pStyle w:val="Compact"/>
      </w:pPr>
      <w:r>
        <w:rPr>
          <w:bCs/>
          <w:b/>
        </w:rPr>
        <w:t xml:space="preserve">Enrichment matching.</w:t>
      </w:r>
      <w:r>
        <w:t xml:space="preserve"> </w:t>
      </w:r>
      <w:r>
        <w:t xml:space="preserve">After the Ramp sync, SOA to export NetSuite vendors (internal ID, name) so the enrichment and bank files can be keyed to the Ramp-created records. Can Ramp’s External ID field carry the Sage vendor ID into NetSuite, which would make the match exact?</w:t>
      </w:r>
    </w:p>
    <w:bookmarkEnd w:id="27"/>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vendor load</dc:title>
  <dc:creator/>
  <cp:keywords/>
  <dcterms:created xsi:type="dcterms:W3CDTF">2026-10-26T11:24:52Z</dcterms:created>
  <dcterms:modified xsi:type="dcterms:W3CDTF">2026-10-26T11:24:52Z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Vendor import: MINIO_Vendor_Template_10192026.xlsx</vt:lpwstr>
  </property>
</Properties>
</file>