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NetSuite non-inventory items load</w:t>
      </w:r>
    </w:p>
    <w:p>
      <w:pPr>
        <w:pStyle w:val="Subtitle"/>
      </w:pPr>
      <w:r>
        <w:t xml:space="preserve">Non-inventory Item for Sale import: MINIO_-_Noninventory_for_Sale.csv</w:t>
      </w:r>
    </w:p>
    <w:bookmarkStart w:id="20" w:name="overview"/>
    <w:p>
      <w:pPr>
        <w:pStyle w:val="Heading1"/>
      </w:pPr>
      <w:r>
        <w:t xml:space="preserve">Overview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Record type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Items &gt; Non-inventory Item for Sale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Load file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Style w:val="VerbatimChar"/>
                <w:rFonts w:ascii="Arial" w:hAnsi="Arial"/>
                <w:sz w:val="20"/>
              </w:rPr>
              <w:t xml:space="preserve">MINIO_-_Noninventory_for_Sale.csv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Items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11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Source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Workbook</w:t>
            </w:r>
            <w:r>
              <w:rPr>
                <w:rFonts w:ascii="Arial" w:hAnsi="Arial"/>
                <w:sz w:val="20"/>
              </w:rPr>
              <w:t xml:space="preserve"> </w:t>
            </w:r>
            <w:r>
              <w:rPr>
                <w:rStyle w:val="VerbatimChar"/>
                <w:rFonts w:ascii="Arial" w:hAnsi="Arial"/>
                <w:sz w:val="20"/>
              </w:rPr>
              <w:t xml:space="preserve">MINIO-Dimensions-from-sage-20260825</w:t>
            </w:r>
            <w:r>
              <w:rPr>
                <w:rFonts w:ascii="Arial" w:hAnsi="Arial"/>
                <w:sz w:val="20"/>
              </w:rPr>
              <w:t xml:space="preserve">, tabs COA Draft v1, Departments Draft v1 and Items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Filled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External ID, Item Name, Display Name/Code, Class, Subsidiary, Include Children, Income account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Open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8 columns. Department stays blank for now. Most are set per item group, under Values by group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Status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Waiting on accounting for accounts and revenue recognition</w:t>
            </w:r>
          </w:p>
        </w:tc>
      </w:tr>
    </w:tbl>
    <w:bookmarkEnd w:id="20"/>
    <w:bookmarkStart w:id="21" w:name="load-file"/>
    <w:p>
      <w:pPr>
        <w:pStyle w:val="Heading1"/>
      </w:pPr>
      <w:r>
        <w:t xml:space="preserve">Load file</w:t>
      </w:r>
    </w:p>
    <w:p>
      <w:pPr>
        <w:pStyle w:val="FirstParagraph"/>
      </w:pPr>
      <w:r>
        <w:rPr>
          <w:rStyle w:val="VerbatimChar"/>
        </w:rPr>
        <w:t xml:space="preserve">MINIO_-_Noninventory_for_Sale.csv</w:t>
      </w:r>
      <w:r>
        <w:t xml:space="preserve"> </w:t>
      </w:r>
      <w:r>
        <w:t xml:space="preserve">as it stands: 11 rows, 16 columns. Blank cells are still open. Scroll sideways to see every column.</w:t>
      </w:r>
    </w:p>
    <w:p>
      <w:pPr>
        <w:pStyle w:val="BodyText"/>
      </w:pPr>
      <w:r>
        <w:t xml:space="preserve">External ID and Item Name both use the item ID. Item Name is the code; Display Name/Code is the name sales and customers read.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-952"/>
        <w:gridCol w:w="-952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-902"/>
      </w:tblGrid>
      <w:tr>
        <w:trPr>
          <w:tblHeader w:val="true"/>
        </w:trPr>
        <w:tc>
          <w:tcPr>
            <w:tcW w:type="dxa" w:w="-9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External ID</w:t>
            </w:r>
          </w:p>
        </w:tc>
        <w:tc>
          <w:tcPr>
            <w:tcW w:type="dxa" w:w="-9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Item Name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Display Name/Code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Department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Class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Subsidiary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Include Children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Sales Description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Base Price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Income account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Deferred Revenue account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Revenue Recogition Rule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Rev Rec Forecast Rule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Create Revenue Plans On</w:t>
            </w:r>
          </w:p>
        </w:tc>
        <w:tc>
          <w:tcPr>
            <w:tcW w:type="dxa" w:w="93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Direct Revenue Posting</w:t>
            </w:r>
          </w:p>
        </w:tc>
        <w:tc>
          <w:tcPr>
            <w:tcW w:type="dxa" w:w="-90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Can be fulfilled/received</w:t>
            </w: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NS-SUPT-SLA-1H-UPB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NS-SUPT-SLA-1H-UPB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1-Hour SLA / Unlimited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NS-SUPT-SLA-4H-UPB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NS-SUPT-SLA-4H-UPB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4-Hour SLA / Unlimited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NS-SUPT-SLA-24H-1PB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NS-SUPT-SLA-24H-1PB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24-Hour SLA / 1 Panic Button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NS-SUPT-SLA-48H-1PB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NS-SUPT-SLA-48H-1PB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48-Hour SLA / 1 Panic Button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NS-SUPT-SLA-5D-0PB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NS-SUPT-SLA-5D-0PB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5-day SLA / No Panic Buttons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NS-TRAIN-LV-3D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NS-TRAIN-LV-3D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3-day Live Virtual 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NS-TRAIN-LV-4D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NS-TRAIN-LV-4D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4-day Live Virtual 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NS-TRAIN-PLATFORM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NS-TRAIN-PLATFORM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Single Training Subscription to Platform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NS-LIC-AISTOR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NS-LIC-AISTOR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NS-OEM-LIC-AISTOR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NS-OEM-LIC-AISTOR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AIStor OEM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  <w:tr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NS-LIC-MEMKV</w:t>
            </w:r>
          </w:p>
        </w:tc>
        <w:tc>
          <w:tcPr>
            <w:tcW w:type="dxa" w:w="-95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NS-LIC-MEMKV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MemKV 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936"/>
          </w:tcPr>
          <w:p>
            <w:pPr>
              <w:pStyle w:val="Compact"/>
              <w:spacing w:before="40" w:after="40"/>
            </w:pPr>
          </w:p>
        </w:tc>
        <w:tc>
          <w:tcPr>
            <w:tcW w:type="dxa" w:w="-902"/>
          </w:tcPr>
          <w:p>
            <w:pPr>
              <w:pStyle w:val="Compact"/>
              <w:spacing w:before="40" w:after="40"/>
            </w:pPr>
          </w:p>
        </w:tc>
      </w:tr>
    </w:tbl>
    <w:bookmarkEnd w:id="21"/>
    <w:bookmarkStart w:id="22" w:name="values-by-group"/>
    <w:p>
      <w:pPr>
        <w:pStyle w:val="Heading1"/>
      </w:pPr>
      <w:r>
        <w:t xml:space="preserve">Values by group</w:t>
      </w:r>
    </w:p>
    <w:p>
      <w:pPr>
        <w:pStyle w:val="FirstParagraph"/>
      </w:pPr>
      <w:r>
        <w:t xml:space="preserve">Every item in a group gets the same values.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552"/>
        <w:gridCol w:w="2978"/>
        <w:gridCol w:w="2042"/>
        <w:gridCol w:w="1786"/>
      </w:tblGrid>
      <w:tr>
        <w:trPr>
          <w:tblHeader w:val="true"/>
        </w:trPr>
        <w:tc>
          <w:tcPr>
            <w:tcW w:type="dxa" w:w="255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Column</w:t>
            </w:r>
          </w:p>
        </w:tc>
        <w:tc>
          <w:tcPr>
            <w:tcW w:type="dxa" w:w="2978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Support</w:t>
            </w:r>
          </w:p>
        </w:tc>
        <w:tc>
          <w:tcPr>
            <w:tcW w:type="dxa" w:w="2042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Training</w:t>
            </w:r>
          </w:p>
        </w:tc>
        <w:tc>
          <w:tcPr>
            <w:tcW w:type="dxa" w:w="1786"/>
            <w:shd w:val="clear" w:color="auto" w:fill="1F3B5C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Department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None for now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None for now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None for now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Class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Support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Training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License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Income account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41200 Support Revenue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42200 Training Revenue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41100 License Revenue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Deferred Revenue account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23100 Deferred Revenue - ST?]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Revenue Recogition Rule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552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Rev Rec Forecast Rule</w:t>
            </w:r>
          </w:p>
        </w:tc>
        <w:tc>
          <w:tcPr>
            <w:tcW w:type="dxa" w:w="2978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2042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  <w:tc>
          <w:tcPr>
            <w:tcW w:type="dxa" w:w="1786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</w:tbl>
    <w:p>
      <w:pPr>
        <w:pStyle w:val="BodyText"/>
      </w:pPr>
      <w:r>
        <w:t xml:space="preserve">Department, Class, accounts and rules must match existing NetSuite records, spelled as NetSuite shows them.</w:t>
      </w:r>
    </w:p>
    <w:bookmarkEnd w:id="22"/>
    <w:bookmarkStart w:id="23" w:name="values-for-all-items"/>
    <w:p>
      <w:pPr>
        <w:pStyle w:val="Heading1"/>
      </w:pPr>
      <w:r>
        <w:t xml:space="preserve">Values for all items</w:t>
      </w:r>
    </w:p>
    <w:tbl>
      <w:tblPr>
        <w:tblStyle w:val="Table"/>
        <w:tblW w:type="dxa" w:w="9360"/>
        <w:jc w:val="center"/>
        <w:tblLook w:firstRow="0" w:lastRow="0" w:firstColumn="0" w:lastColumn="0" w:noHBand="0" w:noVBand="0" w:val="0000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BFC7D1"/>
          <w:insideV w:val="single" w:sz="4" w:space="0" w:color="BFC7D1"/>
        </w:tblBorders>
        <w:tblLayout w:type="fixed"/>
      </w:tblPr>
      <w:tblGrid>
        <w:gridCol w:w="2620"/>
        <w:gridCol w:w="6739"/>
      </w:tblGrid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Subsidiary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MinIO, Inc., the parent of MinIO Pvt. Ltd. and MinIO Singapore Pte. Ltd.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Include Children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Yes, so all three subsidiaries can sell the items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Sales Description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repeat the Display Name/Code, or other text]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Base Price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list price per item, or blank and priced on each order]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Create Revenue Plans On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Direct Revenue Posting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when revenue recognition runs in NetSuite]</w:t>
            </w:r>
          </w:p>
        </w:tc>
      </w:tr>
      <w:tr>
        <w:tc>
          <w:tcPr>
            <w:tcW w:type="dxa" w:w="2620"/>
            <w:shd w:val="clear" w:color="auto" w:fill="F2F4F7"/>
          </w:tcPr>
          <w:p>
            <w:pPr>
              <w:pStyle w:val="Compact"/>
              <w:spacing w:before="40" w:after="40"/>
              <w:jc w:val="left"/>
            </w:pPr>
            <w:r>
              <w:rPr>
                <w:bCs/>
                <w:rFonts w:ascii="Arial" w:hAnsi="Arial"/>
                <w:b/>
                <w:sz w:val="20"/>
              </w:rPr>
              <w:t xml:space="preserve">Can be fulfilled/received</w:t>
            </w:r>
          </w:p>
        </w:tc>
        <w:tc>
          <w:tcPr>
            <w:tcW w:type="dxa" w:w="6739"/>
          </w:tcPr>
          <w:p>
            <w:pPr>
              <w:pStyle w:val="Compact"/>
              <w:spacing w:before="40" w:after="40"/>
              <w:jc w:val="left"/>
            </w:pPr>
            <w:r>
              <w:rPr>
                <w:rFonts w:ascii="Arial" w:hAnsi="Arial"/>
                <w:sz w:val="20"/>
              </w:rPr>
              <w:t xml:space="preserve">[TBC: usually No for services and licenses]</w:t>
            </w:r>
          </w:p>
        </w:tc>
      </w:tr>
    </w:tbl>
    <w:bookmarkEnd w:id="23"/>
    <w:bookmarkStart w:id="24" w:name="open-questions"/>
    <w:p>
      <w:pPr>
        <w:pStyle w:val="Heading1"/>
      </w:pPr>
      <w:r>
        <w:t xml:space="preserve">Open questions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Deferred Revenue account.</w:t>
      </w:r>
      <w:r>
        <w:t xml:space="preserve"> </w:t>
      </w:r>
      <w:r>
        <w:t xml:space="preserve">COA Draft v1 has 23100 Deferred Revenue - ST, 23200 Deferred Revenue - LT, and under 23200: 23210 Deferred Revenue Unbilled, 23220 Deferred Revenue Billed, 23230 Deferred Revenue Paid. Which one do the items post to?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 format.</w:t>
      </w:r>
      <w:r>
        <w:t xml:space="preserve"> </w:t>
      </w:r>
      <w:r>
        <w:t xml:space="preserve">The CSV uses number and name, such as</w:t>
      </w:r>
      <w:r>
        <w:t xml:space="preserve"> </w:t>
      </w:r>
      <w:r>
        <w:rPr>
          <w:rStyle w:val="VerbatimChar"/>
        </w:rPr>
        <w:t xml:space="preserve">41100 License Revenue</w:t>
      </w:r>
      <w:r>
        <w:t xml:space="preserve">. Confirm on a test import that NetSuite matches it; child accounts may need the full path.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OEM license.</w:t>
      </w:r>
      <w:r>
        <w:t xml:space="preserve"> </w:t>
      </w:r>
      <w:r>
        <w:t xml:space="preserve">Does AIStor OEM License use the same accounts and rule as the direct licenses?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 training subscription.</w:t>
      </w:r>
      <w:r>
        <w:t xml:space="preserve"> </w:t>
      </w:r>
      <w:r>
        <w:t xml:space="preserve">Is it recognized like the live trainings or like a subscription?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Price.</w:t>
      </w:r>
      <w:r>
        <w:t xml:space="preserve"> </w:t>
      </w:r>
      <w:r>
        <w:t xml:space="preserve">Do these items have list prices?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Classes in production.</w:t>
      </w:r>
      <w:r>
        <w:t xml:space="preserve"> </w:t>
      </w:r>
      <w:r>
        <w:t xml:space="preserve">License, Support, Training and Professional Services must exist in production before this 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in this load.</w:t>
      </w:r>
      <w:r>
        <w:t xml:space="preserve"> </w:t>
      </w:r>
      <w:r>
        <w:t xml:space="preserve">The Items tab lists Surcharge Fee for Marketplace and Reseller Margin (presented as a discount) as TBD. No Professional Services SKUs yet; 42100 Professional Services Revenue is ready when there 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Template header.</w:t>
      </w:r>
      <w:r>
        <w:t xml:space="preserve"> </w:t>
      </w:r>
      <w:r>
        <w:t xml:space="preserve">The template spells</w:t>
      </w:r>
      <w:r>
        <w:t xml:space="preserve"> </w:t>
      </w:r>
      <w:r>
        <w:rPr>
          <w:rStyle w:val="VerbatimChar"/>
        </w:rPr>
        <w:t xml:space="preserve">Revenue Recogition Rule</w:t>
      </w:r>
      <w:r>
        <w:t xml:space="preserve">. Kept as is; it only needs to match when mapping the import.</w:t>
      </w:r>
    </w:p>
    <w:bookmarkEnd w:id="24"/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Theme="majorHAnsi" w:cstheme="majorBidi" w:eastAsiaTheme="majorEastAsia" w:hAnsiTheme="majorHAnsi" w:ascii="Arial" w:hAnsi="Arial"/>
      <w:b/>
      <w:bCs/>
      <w:i w:val="0"/>
      <w:color w:val="000000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Georgia" w:hAnsi="Georgia"/>
      <w:i/>
      <w:color w:val="666666"/>
      <w:sz w:val="3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i w:val="0"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/>
      <w:b/>
      <w:bCs/>
      <w:i w:val="0"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i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NetSuite non-inventory items load</dc:title>
  <dc:creator/>
  <cp:keywords/>
  <dcterms:created xsi:type="dcterms:W3CDTF">2026-10-26T03:44:58Z</dcterms:created>
  <dcterms:modified xsi:type="dcterms:W3CDTF">2026-10-26T03:44:58Z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Non-inventory Item for Sale import: MINIO_-_Noninventory_for_Sale.csv</vt:lpwstr>
  </property>
</Properties>
</file>