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NetSuite non-inventory items load</w:t>
      </w:r>
    </w:p>
    <w:p>
      <w:pPr>
        <w:pStyle w:val="Subtitle"/>
      </w:pPr>
      <w:r>
        <w:t xml:space="preserve">Non-inventory Item for Sale import: MINIO_-_Noninventory_for_Sale.csv</w:t>
      </w:r>
    </w:p>
    <w:bookmarkStart w:id="20" w:name="overview"/>
    <w:p>
      <w:pPr>
        <w:pStyle w:val="Heading1"/>
      </w:pPr>
      <w:r>
        <w:t xml:space="preserve">Overview</w:t>
      </w:r>
    </w:p>
    <w:tbl>
      <w:tblPr>
        <w:tblStyle w:val="Table"/>
        <w:tblW w:type="dxa" w:w="9360"/>
        <w:jc w:val="center"/>
        <w:tblLook w:firstRow="0" w:lastRow="0" w:firstColumn="0" w:lastColumn="0" w:noHBand="0" w:noVBand="0" w:val="000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2620"/>
        <w:gridCol w:w="6739"/>
      </w:tblGrid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Record type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Items &gt; Non-inventory Item for Sale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Load file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rFonts w:ascii="Arial" w:hAnsi="Arial"/>
                <w:sz w:val="20"/>
              </w:rPr>
              <w:t xml:space="preserve">MINIO_-_Noninventory_for_Sale.csv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Items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11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Filled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External ID, Item Name, Display Name/Code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Open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13 columns. Most are set per item group, below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Status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Waiting on accounting for accounts and revenue recognition</w:t>
            </w:r>
          </w:p>
        </w:tc>
      </w:tr>
    </w:tbl>
    <w:bookmarkEnd w:id="20"/>
    <w:bookmarkStart w:id="21" w:name="items"/>
    <w:p>
      <w:pPr>
        <w:pStyle w:val="Heading1"/>
      </w:pPr>
      <w:r>
        <w:t xml:space="preserve">Items</w:t>
      </w:r>
    </w:p>
    <w:p>
      <w:pPr>
        <w:pStyle w:val="FirstParagraph"/>
      </w:pPr>
      <w:r>
        <w:t xml:space="preserve">External ID and Item Name both use the item ID. [TBC: confirm the item ID as Item Name, with the descriptive name as Display Name/Code]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4409"/>
        <w:gridCol w:w="3094"/>
        <w:gridCol w:w="1856"/>
      </w:tblGrid>
      <w:tr>
        <w:trPr>
          <w:tblHeader w:val="true"/>
        </w:trPr>
        <w:tc>
          <w:tcPr>
            <w:tcW w:type="dxa" w:w="4409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Item Name / External ID</w:t>
            </w:r>
          </w:p>
        </w:tc>
        <w:tc>
          <w:tcPr>
            <w:tcW w:type="dxa" w:w="3094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Display Name/Code</w:t>
            </w:r>
          </w:p>
        </w:tc>
        <w:tc>
          <w:tcPr>
            <w:tcW w:type="dxa" w:w="185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Group</w:t>
            </w:r>
          </w:p>
        </w:tc>
      </w:tr>
      <w:tr>
        <w:tc>
          <w:tcPr>
            <w:tcW w:type="dxa" w:w="4409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NS-SUPT-SLA-1H-UPB</w:t>
            </w:r>
          </w:p>
        </w:tc>
        <w:tc>
          <w:tcPr>
            <w:tcW w:type="dxa" w:w="3094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1-Hour SLA / Unlimited Panic Buttons</w:t>
            </w:r>
          </w:p>
        </w:tc>
        <w:tc>
          <w:tcPr>
            <w:tcW w:type="dxa" w:w="185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</w:tr>
      <w:tr>
        <w:tc>
          <w:tcPr>
            <w:tcW w:type="dxa" w:w="4409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NS-SUPT-SLA-4H-UPB</w:t>
            </w:r>
          </w:p>
        </w:tc>
        <w:tc>
          <w:tcPr>
            <w:tcW w:type="dxa" w:w="3094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4-Hour SLA / Unlimited Panic Buttons</w:t>
            </w:r>
          </w:p>
        </w:tc>
        <w:tc>
          <w:tcPr>
            <w:tcW w:type="dxa" w:w="185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</w:tr>
      <w:tr>
        <w:tc>
          <w:tcPr>
            <w:tcW w:type="dxa" w:w="4409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NS-SUPT-SLA-24H-1PB</w:t>
            </w:r>
          </w:p>
        </w:tc>
        <w:tc>
          <w:tcPr>
            <w:tcW w:type="dxa" w:w="3094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24-Hour SLA / 1 Panic Button</w:t>
            </w:r>
          </w:p>
        </w:tc>
        <w:tc>
          <w:tcPr>
            <w:tcW w:type="dxa" w:w="185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</w:tr>
      <w:tr>
        <w:tc>
          <w:tcPr>
            <w:tcW w:type="dxa" w:w="4409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NS-SUPT-SLA-48H-1PB</w:t>
            </w:r>
          </w:p>
        </w:tc>
        <w:tc>
          <w:tcPr>
            <w:tcW w:type="dxa" w:w="3094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48-Hour SLA / 1 Panic Button</w:t>
            </w:r>
          </w:p>
        </w:tc>
        <w:tc>
          <w:tcPr>
            <w:tcW w:type="dxa" w:w="185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</w:tr>
      <w:tr>
        <w:tc>
          <w:tcPr>
            <w:tcW w:type="dxa" w:w="4409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NS-SUPT-SLA-5D-0PB</w:t>
            </w:r>
          </w:p>
        </w:tc>
        <w:tc>
          <w:tcPr>
            <w:tcW w:type="dxa" w:w="3094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5-day SLA / No Panic Buttons</w:t>
            </w:r>
          </w:p>
        </w:tc>
        <w:tc>
          <w:tcPr>
            <w:tcW w:type="dxa" w:w="185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</w:tr>
      <w:tr>
        <w:tc>
          <w:tcPr>
            <w:tcW w:type="dxa" w:w="4409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NS-TRAIN-LV-3D</w:t>
            </w:r>
          </w:p>
        </w:tc>
        <w:tc>
          <w:tcPr>
            <w:tcW w:type="dxa" w:w="3094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3-day Live Virtual Training</w:t>
            </w:r>
          </w:p>
        </w:tc>
        <w:tc>
          <w:tcPr>
            <w:tcW w:type="dxa" w:w="185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</w:tr>
      <w:tr>
        <w:tc>
          <w:tcPr>
            <w:tcW w:type="dxa" w:w="4409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NS-TRAIN-LV-4D</w:t>
            </w:r>
          </w:p>
        </w:tc>
        <w:tc>
          <w:tcPr>
            <w:tcW w:type="dxa" w:w="3094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4-day Live Virtual Training</w:t>
            </w:r>
          </w:p>
        </w:tc>
        <w:tc>
          <w:tcPr>
            <w:tcW w:type="dxa" w:w="185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</w:tr>
      <w:tr>
        <w:tc>
          <w:tcPr>
            <w:tcW w:type="dxa" w:w="4409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NS-TRAIN-PLATFORM</w:t>
            </w:r>
          </w:p>
        </w:tc>
        <w:tc>
          <w:tcPr>
            <w:tcW w:type="dxa" w:w="3094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Single Training Subscription to Platform</w:t>
            </w:r>
          </w:p>
        </w:tc>
        <w:tc>
          <w:tcPr>
            <w:tcW w:type="dxa" w:w="185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</w:tr>
      <w:tr>
        <w:tc>
          <w:tcPr>
            <w:tcW w:type="dxa" w:w="4409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NS-LIC-AISTOR</w:t>
            </w:r>
          </w:p>
        </w:tc>
        <w:tc>
          <w:tcPr>
            <w:tcW w:type="dxa" w:w="3094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AIStor License</w:t>
            </w:r>
          </w:p>
        </w:tc>
        <w:tc>
          <w:tcPr>
            <w:tcW w:type="dxa" w:w="185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</w:tr>
      <w:tr>
        <w:tc>
          <w:tcPr>
            <w:tcW w:type="dxa" w:w="4409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NS-OEM-LIC-AISTOR</w:t>
            </w:r>
          </w:p>
        </w:tc>
        <w:tc>
          <w:tcPr>
            <w:tcW w:type="dxa" w:w="3094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AIStor OEM License</w:t>
            </w:r>
          </w:p>
        </w:tc>
        <w:tc>
          <w:tcPr>
            <w:tcW w:type="dxa" w:w="185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</w:tr>
      <w:tr>
        <w:tc>
          <w:tcPr>
            <w:tcW w:type="dxa" w:w="4409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NS-LIC-MEMKV</w:t>
            </w:r>
          </w:p>
        </w:tc>
        <w:tc>
          <w:tcPr>
            <w:tcW w:type="dxa" w:w="3094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MemKV License</w:t>
            </w:r>
          </w:p>
        </w:tc>
        <w:tc>
          <w:tcPr>
            <w:tcW w:type="dxa" w:w="185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</w:tr>
    </w:tbl>
    <w:bookmarkEnd w:id="21"/>
    <w:bookmarkStart w:id="22" w:name="values-by-group"/>
    <w:p>
      <w:pPr>
        <w:pStyle w:val="Heading1"/>
      </w:pPr>
      <w:r>
        <w:t xml:space="preserve">Values by group</w:t>
      </w:r>
    </w:p>
    <w:p>
      <w:pPr>
        <w:pStyle w:val="FirstParagraph"/>
      </w:pPr>
      <w:r>
        <w:t xml:space="preserve">Every item in a group gets the same values.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2925"/>
        <w:gridCol w:w="2047"/>
        <w:gridCol w:w="2340"/>
        <w:gridCol w:w="2047"/>
      </w:tblGrid>
      <w:tr>
        <w:trPr>
          <w:tblHeader w:val="true"/>
        </w:trPr>
        <w:tc>
          <w:tcPr>
            <w:tcW w:type="dxa" w:w="2925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Column</w:t>
            </w:r>
          </w:p>
        </w:tc>
        <w:tc>
          <w:tcPr>
            <w:tcW w:type="dxa" w:w="2047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Support</w:t>
            </w:r>
          </w:p>
        </w:tc>
        <w:tc>
          <w:tcPr>
            <w:tcW w:type="dxa" w:w="2340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Training</w:t>
            </w:r>
          </w:p>
        </w:tc>
        <w:tc>
          <w:tcPr>
            <w:tcW w:type="dxa" w:w="2047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tcW w:type="dxa" w:w="2925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Department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340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925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Class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340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925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Income account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340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925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Deferred Revenue account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340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925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Revenue Recogition Rule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340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925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Rev Rec Forecast Rule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340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7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</w:tbl>
    <w:p>
      <w:pPr>
        <w:pStyle w:val="BodyText"/>
      </w:pPr>
      <w:r>
        <w:t xml:space="preserve">Department, Class, accounts and rules must match existing NetSuite records, spelled as NetSuite shows them.</w:t>
      </w:r>
    </w:p>
    <w:bookmarkEnd w:id="22"/>
    <w:bookmarkStart w:id="23" w:name="values-for-all-items"/>
    <w:p>
      <w:pPr>
        <w:pStyle w:val="Heading1"/>
      </w:pPr>
      <w:r>
        <w:t xml:space="preserve">Values for all items</w:t>
      </w:r>
    </w:p>
    <w:tbl>
      <w:tblPr>
        <w:tblStyle w:val="Table"/>
        <w:tblW w:type="dxa" w:w="9360"/>
        <w:jc w:val="center"/>
        <w:tblLook w:firstRow="0" w:lastRow="0" w:firstColumn="0" w:lastColumn="0" w:noHBand="0" w:noVBand="0" w:val="000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2620"/>
        <w:gridCol w:w="6739"/>
      </w:tblGrid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Subsidiary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which MinIO entity sells these items]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Include Children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Yes if child subsidiaries also sell them]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Sales Description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repeat the Display Name/Code, or other text]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Base Price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list price per item, or blank and priced on each order]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Create Revenue Plans On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Direct Revenue Posting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usually No when revenue recognition runs in NetSuite]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Can be fulfilled/received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usually No for services and licenses]</w:t>
            </w:r>
          </w:p>
        </w:tc>
      </w:tr>
    </w:tbl>
    <w:bookmarkEnd w:id="23"/>
    <w:bookmarkStart w:id="24" w:name="open-questions"/>
    <w:p>
      <w:pPr>
        <w:pStyle w:val="Heading1"/>
      </w:pPr>
      <w:r>
        <w:t xml:space="preserve">Open questions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OEM license.</w:t>
      </w:r>
      <w:r>
        <w:t xml:space="preserve"> </w:t>
      </w:r>
      <w:r>
        <w:t xml:space="preserve">Does AIStor OEM License use the same accounts and rule as the direct licenses?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Platform training subscription.</w:t>
      </w:r>
      <w:r>
        <w:t xml:space="preserve"> </w:t>
      </w:r>
      <w:r>
        <w:t xml:space="preserve">Is it recognized like the live trainings or like a subscription?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Price.</w:t>
      </w:r>
      <w:r>
        <w:t xml:space="preserve"> </w:t>
      </w:r>
      <w:r>
        <w:t xml:space="preserve">Do these items have list prices?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Template header.</w:t>
      </w:r>
      <w:r>
        <w:t xml:space="preserve"> </w:t>
      </w:r>
      <w:r>
        <w:t xml:space="preserve">The template spells</w:t>
      </w:r>
      <w:r>
        <w:t xml:space="preserve"> </w:t>
      </w:r>
      <w:r>
        <w:rPr>
          <w:rStyle w:val="VerbatimChar"/>
        </w:rPr>
        <w:t xml:space="preserve">Revenue Recogition Rule</w:t>
      </w:r>
      <w:r>
        <w:t xml:space="preserve">. Kept as is; it only needs to match when mapping the import.</w:t>
      </w:r>
    </w:p>
    <w:bookmarkEnd w:id="24"/>
    <w:sectPr>
      <w:pgSz w:w="12240" w:h="15840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Theme="majorHAnsi" w:cstheme="majorBidi" w:eastAsiaTheme="majorEastAsia" w:hAnsiTheme="majorHAnsi" w:ascii="Arial" w:hAnsi="Arial"/>
      <w:b/>
      <w:bCs/>
      <w:i w:val="0"/>
      <w:color w:val="000000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Georgia" w:hAnsi="Georgia"/>
      <w:i/>
      <w:color w:val="666666"/>
      <w:sz w:val="3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/>
      <w:b/>
      <w:bCs/>
      <w:i w:val="0"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/>
      <w:b/>
      <w:bCs/>
      <w:i w:val="0"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/>
      <w:b/>
      <w:bCs/>
      <w:i w:val="0"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Arial" w:hAnsi="Arial"/>
      <w:i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NetSuite non-inventory items load</dc:title>
  <dc:creator/>
  <cp:keywords/>
  <dcterms:created xsi:type="dcterms:W3CDTF">2026-10-26T03:24:12Z</dcterms:created>
  <dcterms:modified xsi:type="dcterms:W3CDTF">2026-10-26T03:24:12Z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Non-inventory Item for Sale import: MINIO_-_Noninventory_for_Sale.csv</vt:lpwstr>
  </property>
</Properties>
</file>