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NetSuite non-inventory items load</w:t>
      </w:r>
    </w:p>
    <w:p>
      <w:pPr>
        <w:pStyle w:val="Subtitle"/>
      </w:pPr>
      <w:r>
        <w:t xml:space="preserve">Non-inventory Item for Sale import: MINIO_-_Noninventory_for_Sale.csv</w:t>
      </w:r>
    </w:p>
    <w:bookmarkStart w:id="20" w:name="overview"/>
    <w:p>
      <w:pPr>
        <w:pStyle w:val="Heading1"/>
      </w:pPr>
      <w:r>
        <w:t xml:space="preserve">Overview</w:t>
      </w:r>
    </w:p>
    <w:tbl>
      <w:tblPr>
        <w:tblStyle w:val="Table"/>
        <w:tblW w:type="dxa" w:w="9360"/>
        <w:jc w:val="center"/>
        <w:tblLook w:firstRow="0" w:lastRow="0" w:firstColumn="0" w:lastColumn="0" w:noHBand="0" w:noVBand="0" w:val="0000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  <w:tblLayout w:type="fixed"/>
      </w:tblPr>
      <w:tblGrid>
        <w:gridCol w:w="2620"/>
        <w:gridCol w:w="6739"/>
      </w:tblGrid>
      <w:tr>
        <w:tc>
          <w:tcPr>
            <w:tcW w:type="dxa" w:w="2620"/>
            <w:shd w:val="clear" w:color="auto" w:fill="F2F4F7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sz w:val="20"/>
              </w:rPr>
              <w:t xml:space="preserve">Record type</w:t>
            </w:r>
          </w:p>
        </w:tc>
        <w:tc>
          <w:tcPr>
            <w:tcW w:type="dxa" w:w="6739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Items &gt; Non-inventory Item for Sale</w:t>
            </w:r>
          </w:p>
        </w:tc>
      </w:tr>
      <w:tr>
        <w:tc>
          <w:tcPr>
            <w:tcW w:type="dxa" w:w="2620"/>
            <w:shd w:val="clear" w:color="auto" w:fill="F2F4F7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sz w:val="20"/>
              </w:rPr>
              <w:t xml:space="preserve">Load file</w:t>
            </w:r>
          </w:p>
        </w:tc>
        <w:tc>
          <w:tcPr>
            <w:tcW w:type="dxa" w:w="6739"/>
          </w:tcPr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MINIO_-_Noninventory_for_Sale.csv</w:t>
            </w:r>
          </w:p>
        </w:tc>
      </w:tr>
      <w:tr>
        <w:tc>
          <w:tcPr>
            <w:tcW w:type="dxa" w:w="2620"/>
            <w:shd w:val="clear" w:color="auto" w:fill="F2F4F7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sz w:val="20"/>
              </w:rPr>
              <w:t xml:space="preserve">Items</w:t>
            </w:r>
          </w:p>
        </w:tc>
        <w:tc>
          <w:tcPr>
            <w:tcW w:type="dxa" w:w="6739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11</w:t>
            </w:r>
          </w:p>
        </w:tc>
      </w:tr>
      <w:tr>
        <w:tc>
          <w:tcPr>
            <w:tcW w:type="dxa" w:w="2620"/>
            <w:shd w:val="clear" w:color="auto" w:fill="F2F4F7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sz w:val="20"/>
              </w:rPr>
              <w:t xml:space="preserve">Filled</w:t>
            </w:r>
          </w:p>
        </w:tc>
        <w:tc>
          <w:tcPr>
            <w:tcW w:type="dxa" w:w="6739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External ID, Item Name, Display Name/Code</w:t>
            </w:r>
          </w:p>
        </w:tc>
      </w:tr>
      <w:tr>
        <w:tc>
          <w:tcPr>
            <w:tcW w:type="dxa" w:w="2620"/>
            <w:shd w:val="clear" w:color="auto" w:fill="F2F4F7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sz w:val="20"/>
              </w:rPr>
              <w:t xml:space="preserve">Open</w:t>
            </w:r>
          </w:p>
        </w:tc>
        <w:tc>
          <w:tcPr>
            <w:tcW w:type="dxa" w:w="6739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13 columns. Most are set per item group, under Values by group</w:t>
            </w:r>
          </w:p>
        </w:tc>
      </w:tr>
      <w:tr>
        <w:tc>
          <w:tcPr>
            <w:tcW w:type="dxa" w:w="2620"/>
            <w:shd w:val="clear" w:color="auto" w:fill="F2F4F7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sz w:val="20"/>
              </w:rPr>
              <w:t xml:space="preserve">Status</w:t>
            </w:r>
          </w:p>
        </w:tc>
        <w:tc>
          <w:tcPr>
            <w:tcW w:type="dxa" w:w="6739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Waiting on accounting for accounts and revenue recognition</w:t>
            </w:r>
          </w:p>
        </w:tc>
      </w:tr>
    </w:tbl>
    <w:bookmarkEnd w:id="20"/>
    <w:bookmarkStart w:id="21" w:name="load-file"/>
    <w:p>
      <w:pPr>
        <w:pStyle w:val="Heading1"/>
      </w:pPr>
      <w:r>
        <w:t xml:space="preserve">Load file</w:t>
      </w:r>
    </w:p>
    <w:p>
      <w:pPr>
        <w:pStyle w:val="FirstParagraph"/>
      </w:pPr>
      <w:r>
        <w:rPr>
          <w:rStyle w:val="VerbatimChar"/>
        </w:rPr>
        <w:t xml:space="preserve">MINIO_-_Noninventory_for_Sale.csv</w:t>
      </w:r>
      <w:r>
        <w:t xml:space="preserve"> </w:t>
      </w:r>
      <w:r>
        <w:t xml:space="preserve">as it stands: 11 rows, 16 columns. Blank cells are still open. Scroll sideways to see every column.</w:t>
      </w:r>
    </w:p>
    <w:p>
      <w:pPr>
        <w:pStyle w:val="BodyText"/>
      </w:pPr>
      <w:r>
        <w:t xml:space="preserve">External ID and Item Name both use the item ID. [TBC: confirm Item Name format]</w:t>
      </w:r>
    </w:p>
    <w:tbl>
      <w:tblPr>
        <w:tblStyle w:val="Table"/>
        <w:tblW w:type="dxa" w:w="9360"/>
        <w:jc w:val="center"/>
        <w:tblLook w:firstRow="1" w:lastRow="0" w:firstColumn="0" w:lastColumn="0" w:noHBand="0" w:noVBand="0" w:val="0020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  <w:tblLayout w:type="fixed"/>
      </w:tblPr>
      <w:tblGrid>
        <w:gridCol w:w="-952"/>
        <w:gridCol w:w="-952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-902"/>
      </w:tblGrid>
      <w:tr>
        <w:trPr>
          <w:tblHeader w:val="true"/>
        </w:trPr>
        <w:tc>
          <w:tcPr>
            <w:tcW w:type="dxa" w:w="-952"/>
            <w:shd w:val="clear" w:color="auto" w:fill="1F3B5C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color w:val="FFFFFF"/>
                <w:sz w:val="20"/>
              </w:rPr>
              <w:t xml:space="preserve">External ID</w:t>
            </w:r>
          </w:p>
        </w:tc>
        <w:tc>
          <w:tcPr>
            <w:tcW w:type="dxa" w:w="-952"/>
            <w:shd w:val="clear" w:color="auto" w:fill="1F3B5C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color w:val="FFFFFF"/>
                <w:sz w:val="20"/>
              </w:rPr>
              <w:t xml:space="preserve">Item Name</w:t>
            </w:r>
          </w:p>
        </w:tc>
        <w:tc>
          <w:tcPr>
            <w:tcW w:type="dxa" w:w="936"/>
            <w:shd w:val="clear" w:color="auto" w:fill="1F3B5C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color w:val="FFFFFF"/>
                <w:sz w:val="20"/>
              </w:rPr>
              <w:t xml:space="preserve">Display Name/Code</w:t>
            </w:r>
          </w:p>
        </w:tc>
        <w:tc>
          <w:tcPr>
            <w:tcW w:type="dxa" w:w="936"/>
            <w:shd w:val="clear" w:color="auto" w:fill="1F3B5C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color w:val="FFFFFF"/>
                <w:sz w:val="20"/>
              </w:rPr>
              <w:t xml:space="preserve">Department</w:t>
            </w:r>
          </w:p>
        </w:tc>
        <w:tc>
          <w:tcPr>
            <w:tcW w:type="dxa" w:w="936"/>
            <w:shd w:val="clear" w:color="auto" w:fill="1F3B5C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color w:val="FFFFFF"/>
                <w:sz w:val="20"/>
              </w:rPr>
              <w:t xml:space="preserve">Class</w:t>
            </w:r>
          </w:p>
        </w:tc>
        <w:tc>
          <w:tcPr>
            <w:tcW w:type="dxa" w:w="936"/>
            <w:shd w:val="clear" w:color="auto" w:fill="1F3B5C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color w:val="FFFFFF"/>
                <w:sz w:val="20"/>
              </w:rPr>
              <w:t xml:space="preserve">Subsidiary</w:t>
            </w:r>
          </w:p>
        </w:tc>
        <w:tc>
          <w:tcPr>
            <w:tcW w:type="dxa" w:w="936"/>
            <w:shd w:val="clear" w:color="auto" w:fill="1F3B5C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color w:val="FFFFFF"/>
                <w:sz w:val="20"/>
              </w:rPr>
              <w:t xml:space="preserve">Include Children</w:t>
            </w:r>
          </w:p>
        </w:tc>
        <w:tc>
          <w:tcPr>
            <w:tcW w:type="dxa" w:w="936"/>
            <w:shd w:val="clear" w:color="auto" w:fill="1F3B5C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color w:val="FFFFFF"/>
                <w:sz w:val="20"/>
              </w:rPr>
              <w:t xml:space="preserve">Sales Description</w:t>
            </w:r>
          </w:p>
        </w:tc>
        <w:tc>
          <w:tcPr>
            <w:tcW w:type="dxa" w:w="936"/>
            <w:shd w:val="clear" w:color="auto" w:fill="1F3B5C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color w:val="FFFFFF"/>
                <w:sz w:val="20"/>
              </w:rPr>
              <w:t xml:space="preserve">Base Price</w:t>
            </w:r>
          </w:p>
        </w:tc>
        <w:tc>
          <w:tcPr>
            <w:tcW w:type="dxa" w:w="936"/>
            <w:shd w:val="clear" w:color="auto" w:fill="1F3B5C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color w:val="FFFFFF"/>
                <w:sz w:val="20"/>
              </w:rPr>
              <w:t xml:space="preserve">Income account</w:t>
            </w:r>
          </w:p>
        </w:tc>
        <w:tc>
          <w:tcPr>
            <w:tcW w:type="dxa" w:w="936"/>
            <w:shd w:val="clear" w:color="auto" w:fill="1F3B5C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color w:val="FFFFFF"/>
                <w:sz w:val="20"/>
              </w:rPr>
              <w:t xml:space="preserve">Deferred Revenue account</w:t>
            </w:r>
          </w:p>
        </w:tc>
        <w:tc>
          <w:tcPr>
            <w:tcW w:type="dxa" w:w="936"/>
            <w:shd w:val="clear" w:color="auto" w:fill="1F3B5C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color w:val="FFFFFF"/>
                <w:sz w:val="20"/>
              </w:rPr>
              <w:t xml:space="preserve">Revenue Recogition Rule</w:t>
            </w:r>
          </w:p>
        </w:tc>
        <w:tc>
          <w:tcPr>
            <w:tcW w:type="dxa" w:w="936"/>
            <w:shd w:val="clear" w:color="auto" w:fill="1F3B5C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color w:val="FFFFFF"/>
                <w:sz w:val="20"/>
              </w:rPr>
              <w:t xml:space="preserve">Rev Rec Forecast Rule</w:t>
            </w:r>
          </w:p>
        </w:tc>
        <w:tc>
          <w:tcPr>
            <w:tcW w:type="dxa" w:w="936"/>
            <w:shd w:val="clear" w:color="auto" w:fill="1F3B5C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color w:val="FFFFFF"/>
                <w:sz w:val="20"/>
              </w:rPr>
              <w:t xml:space="preserve">Create Revenue Plans On</w:t>
            </w:r>
          </w:p>
        </w:tc>
        <w:tc>
          <w:tcPr>
            <w:tcW w:type="dxa" w:w="936"/>
            <w:shd w:val="clear" w:color="auto" w:fill="1F3B5C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color w:val="FFFFFF"/>
                <w:sz w:val="20"/>
              </w:rPr>
              <w:t xml:space="preserve">Direct Revenue Posting</w:t>
            </w:r>
          </w:p>
        </w:tc>
        <w:tc>
          <w:tcPr>
            <w:tcW w:type="dxa" w:w="-902"/>
            <w:shd w:val="clear" w:color="auto" w:fill="1F3B5C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color w:val="FFFFFF"/>
                <w:sz w:val="20"/>
              </w:rPr>
              <w:t xml:space="preserve">Can be fulfilled/received</w:t>
            </w:r>
          </w:p>
        </w:tc>
      </w:tr>
      <w:tr>
        <w:tc>
          <w:tcPr>
            <w:tcW w:type="dxa" w:w="-95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sz w:val="20"/>
              </w:rPr>
              <w:t xml:space="preserve">NS-SUPT-SLA-1H-UPB</w:t>
            </w:r>
          </w:p>
        </w:tc>
        <w:tc>
          <w:tcPr>
            <w:tcW w:type="dxa" w:w="-952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NS-SUPT-SLA-1H-UPB</w:t>
            </w:r>
          </w:p>
        </w:tc>
        <w:tc>
          <w:tcPr>
            <w:tcW w:type="dxa" w:w="936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1-Hour SLA / Unlimited Panic Buttons</w:t>
            </w: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-902"/>
          </w:tcPr>
          <w:p>
            <w:pPr>
              <w:pStyle w:val="Compact"/>
              <w:spacing w:before="40" w:after="40"/>
            </w:pPr>
          </w:p>
        </w:tc>
      </w:tr>
      <w:tr>
        <w:tc>
          <w:tcPr>
            <w:tcW w:type="dxa" w:w="-95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sz w:val="20"/>
              </w:rPr>
              <w:t xml:space="preserve">NS-SUPT-SLA-4H-UPB</w:t>
            </w:r>
          </w:p>
        </w:tc>
        <w:tc>
          <w:tcPr>
            <w:tcW w:type="dxa" w:w="-952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NS-SUPT-SLA-4H-UPB</w:t>
            </w:r>
          </w:p>
        </w:tc>
        <w:tc>
          <w:tcPr>
            <w:tcW w:type="dxa" w:w="936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4-Hour SLA / Unlimited Panic Buttons</w:t>
            </w: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-902"/>
          </w:tcPr>
          <w:p>
            <w:pPr>
              <w:pStyle w:val="Compact"/>
              <w:spacing w:before="40" w:after="40"/>
            </w:pPr>
          </w:p>
        </w:tc>
      </w:tr>
      <w:tr>
        <w:tc>
          <w:tcPr>
            <w:tcW w:type="dxa" w:w="-95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sz w:val="20"/>
              </w:rPr>
              <w:t xml:space="preserve">NS-SUPT-SLA-24H-1PB</w:t>
            </w:r>
          </w:p>
        </w:tc>
        <w:tc>
          <w:tcPr>
            <w:tcW w:type="dxa" w:w="-952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NS-SUPT-SLA-24H-1PB</w:t>
            </w:r>
          </w:p>
        </w:tc>
        <w:tc>
          <w:tcPr>
            <w:tcW w:type="dxa" w:w="936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24-Hour SLA / 1 Panic Button</w:t>
            </w: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-902"/>
          </w:tcPr>
          <w:p>
            <w:pPr>
              <w:pStyle w:val="Compact"/>
              <w:spacing w:before="40" w:after="40"/>
            </w:pPr>
          </w:p>
        </w:tc>
      </w:tr>
      <w:tr>
        <w:tc>
          <w:tcPr>
            <w:tcW w:type="dxa" w:w="-95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sz w:val="20"/>
              </w:rPr>
              <w:t xml:space="preserve">NS-SUPT-SLA-48H-1PB</w:t>
            </w:r>
          </w:p>
        </w:tc>
        <w:tc>
          <w:tcPr>
            <w:tcW w:type="dxa" w:w="-952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NS-SUPT-SLA-48H-1PB</w:t>
            </w:r>
          </w:p>
        </w:tc>
        <w:tc>
          <w:tcPr>
            <w:tcW w:type="dxa" w:w="936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48-Hour SLA / 1 Panic Button</w:t>
            </w: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-902"/>
          </w:tcPr>
          <w:p>
            <w:pPr>
              <w:pStyle w:val="Compact"/>
              <w:spacing w:before="40" w:after="40"/>
            </w:pPr>
          </w:p>
        </w:tc>
      </w:tr>
      <w:tr>
        <w:tc>
          <w:tcPr>
            <w:tcW w:type="dxa" w:w="-95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sz w:val="20"/>
              </w:rPr>
              <w:t xml:space="preserve">NS-SUPT-SLA-5D-0PB</w:t>
            </w:r>
          </w:p>
        </w:tc>
        <w:tc>
          <w:tcPr>
            <w:tcW w:type="dxa" w:w="-952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NS-SUPT-SLA-5D-0PB</w:t>
            </w:r>
          </w:p>
        </w:tc>
        <w:tc>
          <w:tcPr>
            <w:tcW w:type="dxa" w:w="936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5-day SLA / No Panic Buttons</w:t>
            </w: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-902"/>
          </w:tcPr>
          <w:p>
            <w:pPr>
              <w:pStyle w:val="Compact"/>
              <w:spacing w:before="40" w:after="40"/>
            </w:pPr>
          </w:p>
        </w:tc>
      </w:tr>
      <w:tr>
        <w:tc>
          <w:tcPr>
            <w:tcW w:type="dxa" w:w="-95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sz w:val="20"/>
              </w:rPr>
              <w:t xml:space="preserve">NS-TRAIN-LV-3D</w:t>
            </w:r>
          </w:p>
        </w:tc>
        <w:tc>
          <w:tcPr>
            <w:tcW w:type="dxa" w:w="-952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NS-TRAIN-LV-3D</w:t>
            </w:r>
          </w:p>
        </w:tc>
        <w:tc>
          <w:tcPr>
            <w:tcW w:type="dxa" w:w="936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3-day Live Virtual Training</w:t>
            </w: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-902"/>
          </w:tcPr>
          <w:p>
            <w:pPr>
              <w:pStyle w:val="Compact"/>
              <w:spacing w:before="40" w:after="40"/>
            </w:pPr>
          </w:p>
        </w:tc>
      </w:tr>
      <w:tr>
        <w:tc>
          <w:tcPr>
            <w:tcW w:type="dxa" w:w="-95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sz w:val="20"/>
              </w:rPr>
              <w:t xml:space="preserve">NS-TRAIN-LV-4D</w:t>
            </w:r>
          </w:p>
        </w:tc>
        <w:tc>
          <w:tcPr>
            <w:tcW w:type="dxa" w:w="-952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NS-TRAIN-LV-4D</w:t>
            </w:r>
          </w:p>
        </w:tc>
        <w:tc>
          <w:tcPr>
            <w:tcW w:type="dxa" w:w="936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4-day Live Virtual Training</w:t>
            </w: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-902"/>
          </w:tcPr>
          <w:p>
            <w:pPr>
              <w:pStyle w:val="Compact"/>
              <w:spacing w:before="40" w:after="40"/>
            </w:pPr>
          </w:p>
        </w:tc>
      </w:tr>
      <w:tr>
        <w:tc>
          <w:tcPr>
            <w:tcW w:type="dxa" w:w="-95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sz w:val="20"/>
              </w:rPr>
              <w:t xml:space="preserve">NS-TRAIN-PLATFORM</w:t>
            </w:r>
          </w:p>
        </w:tc>
        <w:tc>
          <w:tcPr>
            <w:tcW w:type="dxa" w:w="-952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NS-TRAIN-PLATFORM</w:t>
            </w:r>
          </w:p>
        </w:tc>
        <w:tc>
          <w:tcPr>
            <w:tcW w:type="dxa" w:w="936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Single Training Subscription to Platform</w:t>
            </w: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-902"/>
          </w:tcPr>
          <w:p>
            <w:pPr>
              <w:pStyle w:val="Compact"/>
              <w:spacing w:before="40" w:after="40"/>
            </w:pPr>
          </w:p>
        </w:tc>
      </w:tr>
      <w:tr>
        <w:tc>
          <w:tcPr>
            <w:tcW w:type="dxa" w:w="-95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sz w:val="20"/>
              </w:rPr>
              <w:t xml:space="preserve">NS-LIC-AISTOR</w:t>
            </w:r>
          </w:p>
        </w:tc>
        <w:tc>
          <w:tcPr>
            <w:tcW w:type="dxa" w:w="-952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NS-LIC-AISTOR</w:t>
            </w:r>
          </w:p>
        </w:tc>
        <w:tc>
          <w:tcPr>
            <w:tcW w:type="dxa" w:w="936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AIStor License</w:t>
            </w: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-902"/>
          </w:tcPr>
          <w:p>
            <w:pPr>
              <w:pStyle w:val="Compact"/>
              <w:spacing w:before="40" w:after="40"/>
            </w:pPr>
          </w:p>
        </w:tc>
      </w:tr>
      <w:tr>
        <w:tc>
          <w:tcPr>
            <w:tcW w:type="dxa" w:w="-95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sz w:val="20"/>
              </w:rPr>
              <w:t xml:space="preserve">NS-OEM-LIC-AISTOR</w:t>
            </w:r>
          </w:p>
        </w:tc>
        <w:tc>
          <w:tcPr>
            <w:tcW w:type="dxa" w:w="-952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NS-OEM-LIC-AISTOR</w:t>
            </w:r>
          </w:p>
        </w:tc>
        <w:tc>
          <w:tcPr>
            <w:tcW w:type="dxa" w:w="936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AIStor OEM License</w:t>
            </w: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-902"/>
          </w:tcPr>
          <w:p>
            <w:pPr>
              <w:pStyle w:val="Compact"/>
              <w:spacing w:before="40" w:after="40"/>
            </w:pPr>
          </w:p>
        </w:tc>
      </w:tr>
      <w:tr>
        <w:tc>
          <w:tcPr>
            <w:tcW w:type="dxa" w:w="-952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sz w:val="20"/>
              </w:rPr>
              <w:t xml:space="preserve">NS-LIC-MEMKV</w:t>
            </w:r>
          </w:p>
        </w:tc>
        <w:tc>
          <w:tcPr>
            <w:tcW w:type="dxa" w:w="-952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NS-LIC-MEMKV</w:t>
            </w:r>
          </w:p>
        </w:tc>
        <w:tc>
          <w:tcPr>
            <w:tcW w:type="dxa" w:w="936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MemKV License</w:t>
            </w: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936"/>
          </w:tcPr>
          <w:p>
            <w:pPr>
              <w:pStyle w:val="Compact"/>
              <w:spacing w:before="40" w:after="40"/>
            </w:pPr>
          </w:p>
        </w:tc>
        <w:tc>
          <w:tcPr>
            <w:tcW w:type="dxa" w:w="-902"/>
          </w:tcPr>
          <w:p>
            <w:pPr>
              <w:pStyle w:val="Compact"/>
              <w:spacing w:before="40" w:after="40"/>
            </w:pPr>
          </w:p>
        </w:tc>
      </w:tr>
    </w:tbl>
    <w:bookmarkEnd w:id="21"/>
    <w:bookmarkStart w:id="22" w:name="values-by-group"/>
    <w:p>
      <w:pPr>
        <w:pStyle w:val="Heading1"/>
      </w:pPr>
      <w:r>
        <w:t xml:space="preserve">Values by group</w:t>
      </w:r>
    </w:p>
    <w:p>
      <w:pPr>
        <w:pStyle w:val="FirstParagraph"/>
      </w:pPr>
      <w:r>
        <w:t xml:space="preserve">Every item in a group gets the same values.</w:t>
      </w:r>
    </w:p>
    <w:tbl>
      <w:tblPr>
        <w:tblStyle w:val="Table"/>
        <w:tblW w:type="dxa" w:w="9360"/>
        <w:jc w:val="center"/>
        <w:tblLook w:firstRow="1" w:lastRow="0" w:firstColumn="0" w:lastColumn="0" w:noHBand="0" w:noVBand="0" w:val="0020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  <w:tblLayout w:type="fixed"/>
      </w:tblPr>
      <w:tblGrid>
        <w:gridCol w:w="2925"/>
        <w:gridCol w:w="2047"/>
        <w:gridCol w:w="2340"/>
        <w:gridCol w:w="2047"/>
      </w:tblGrid>
      <w:tr>
        <w:trPr>
          <w:tblHeader w:val="true"/>
        </w:trPr>
        <w:tc>
          <w:tcPr>
            <w:tcW w:type="dxa" w:w="2925"/>
            <w:shd w:val="clear" w:color="auto" w:fill="1F3B5C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color w:val="FFFFFF"/>
                <w:sz w:val="20"/>
              </w:rPr>
              <w:t xml:space="preserve">Column</w:t>
            </w:r>
          </w:p>
        </w:tc>
        <w:tc>
          <w:tcPr>
            <w:tcW w:type="dxa" w:w="2047"/>
            <w:shd w:val="clear" w:color="auto" w:fill="1F3B5C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color w:val="FFFFFF"/>
                <w:sz w:val="20"/>
              </w:rPr>
              <w:t xml:space="preserve">Support</w:t>
            </w:r>
          </w:p>
        </w:tc>
        <w:tc>
          <w:tcPr>
            <w:tcW w:type="dxa" w:w="2340"/>
            <w:shd w:val="clear" w:color="auto" w:fill="1F3B5C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color w:val="FFFFFF"/>
                <w:sz w:val="20"/>
              </w:rPr>
              <w:t xml:space="preserve">Training</w:t>
            </w:r>
          </w:p>
        </w:tc>
        <w:tc>
          <w:tcPr>
            <w:tcW w:type="dxa" w:w="2047"/>
            <w:shd w:val="clear" w:color="auto" w:fill="1F3B5C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color w:val="FFFFFF"/>
                <w:sz w:val="20"/>
              </w:rPr>
              <w:t xml:space="preserve">License</w:t>
            </w:r>
          </w:p>
        </w:tc>
      </w:tr>
      <w:tr>
        <w:tc>
          <w:tcPr>
            <w:tcW w:type="dxa" w:w="2925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sz w:val="20"/>
              </w:rPr>
              <w:t xml:space="preserve">Department</w:t>
            </w:r>
          </w:p>
        </w:tc>
        <w:tc>
          <w:tcPr>
            <w:tcW w:type="dxa" w:w="2047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[TBC]</w:t>
            </w:r>
          </w:p>
        </w:tc>
        <w:tc>
          <w:tcPr>
            <w:tcW w:type="dxa" w:w="2340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[TBC]</w:t>
            </w:r>
          </w:p>
        </w:tc>
        <w:tc>
          <w:tcPr>
            <w:tcW w:type="dxa" w:w="2047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[TBC]</w:t>
            </w:r>
          </w:p>
        </w:tc>
      </w:tr>
      <w:tr>
        <w:tc>
          <w:tcPr>
            <w:tcW w:type="dxa" w:w="2925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sz w:val="20"/>
              </w:rPr>
              <w:t xml:space="preserve">Class</w:t>
            </w:r>
          </w:p>
        </w:tc>
        <w:tc>
          <w:tcPr>
            <w:tcW w:type="dxa" w:w="2047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[TBC]</w:t>
            </w:r>
          </w:p>
        </w:tc>
        <w:tc>
          <w:tcPr>
            <w:tcW w:type="dxa" w:w="2340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[TBC]</w:t>
            </w:r>
          </w:p>
        </w:tc>
        <w:tc>
          <w:tcPr>
            <w:tcW w:type="dxa" w:w="2047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[TBC]</w:t>
            </w:r>
          </w:p>
        </w:tc>
      </w:tr>
      <w:tr>
        <w:tc>
          <w:tcPr>
            <w:tcW w:type="dxa" w:w="2925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sz w:val="20"/>
              </w:rPr>
              <w:t xml:space="preserve">Income account</w:t>
            </w:r>
          </w:p>
        </w:tc>
        <w:tc>
          <w:tcPr>
            <w:tcW w:type="dxa" w:w="2047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[TBC]</w:t>
            </w:r>
          </w:p>
        </w:tc>
        <w:tc>
          <w:tcPr>
            <w:tcW w:type="dxa" w:w="2340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[TBC]</w:t>
            </w:r>
          </w:p>
        </w:tc>
        <w:tc>
          <w:tcPr>
            <w:tcW w:type="dxa" w:w="2047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[TBC]</w:t>
            </w:r>
          </w:p>
        </w:tc>
      </w:tr>
      <w:tr>
        <w:tc>
          <w:tcPr>
            <w:tcW w:type="dxa" w:w="2925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sz w:val="20"/>
              </w:rPr>
              <w:t xml:space="preserve">Deferred Revenue account</w:t>
            </w:r>
          </w:p>
        </w:tc>
        <w:tc>
          <w:tcPr>
            <w:tcW w:type="dxa" w:w="2047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[TBC]</w:t>
            </w:r>
          </w:p>
        </w:tc>
        <w:tc>
          <w:tcPr>
            <w:tcW w:type="dxa" w:w="2340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[TBC]</w:t>
            </w:r>
          </w:p>
        </w:tc>
        <w:tc>
          <w:tcPr>
            <w:tcW w:type="dxa" w:w="2047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[TBC]</w:t>
            </w:r>
          </w:p>
        </w:tc>
      </w:tr>
      <w:tr>
        <w:tc>
          <w:tcPr>
            <w:tcW w:type="dxa" w:w="2925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sz w:val="20"/>
              </w:rPr>
              <w:t xml:space="preserve">Revenue Recogition Rule</w:t>
            </w:r>
          </w:p>
        </w:tc>
        <w:tc>
          <w:tcPr>
            <w:tcW w:type="dxa" w:w="2047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[TBC]</w:t>
            </w:r>
          </w:p>
        </w:tc>
        <w:tc>
          <w:tcPr>
            <w:tcW w:type="dxa" w:w="2340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[TBC]</w:t>
            </w:r>
          </w:p>
        </w:tc>
        <w:tc>
          <w:tcPr>
            <w:tcW w:type="dxa" w:w="2047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[TBC]</w:t>
            </w:r>
          </w:p>
        </w:tc>
      </w:tr>
      <w:tr>
        <w:tc>
          <w:tcPr>
            <w:tcW w:type="dxa" w:w="2925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sz w:val="20"/>
              </w:rPr>
              <w:t xml:space="preserve">Rev Rec Forecast Rule</w:t>
            </w:r>
          </w:p>
        </w:tc>
        <w:tc>
          <w:tcPr>
            <w:tcW w:type="dxa" w:w="2047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[TBC]</w:t>
            </w:r>
          </w:p>
        </w:tc>
        <w:tc>
          <w:tcPr>
            <w:tcW w:type="dxa" w:w="2340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[TBC]</w:t>
            </w:r>
          </w:p>
        </w:tc>
        <w:tc>
          <w:tcPr>
            <w:tcW w:type="dxa" w:w="2047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[TBC]</w:t>
            </w:r>
          </w:p>
        </w:tc>
      </w:tr>
    </w:tbl>
    <w:p>
      <w:pPr>
        <w:pStyle w:val="BodyText"/>
      </w:pPr>
      <w:r>
        <w:t xml:space="preserve">Department, Class, accounts and rules must match existing NetSuite records, spelled as NetSuite shows them.</w:t>
      </w:r>
    </w:p>
    <w:bookmarkEnd w:id="22"/>
    <w:bookmarkStart w:id="23" w:name="values-for-all-items"/>
    <w:p>
      <w:pPr>
        <w:pStyle w:val="Heading1"/>
      </w:pPr>
      <w:r>
        <w:t xml:space="preserve">Values for all items</w:t>
      </w:r>
    </w:p>
    <w:tbl>
      <w:tblPr>
        <w:tblStyle w:val="Table"/>
        <w:tblW w:type="dxa" w:w="9360"/>
        <w:jc w:val="center"/>
        <w:tblLook w:firstRow="0" w:lastRow="0" w:firstColumn="0" w:lastColumn="0" w:noHBand="0" w:noVBand="0" w:val="0000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  <w:tblLayout w:type="fixed"/>
      </w:tblPr>
      <w:tblGrid>
        <w:gridCol w:w="2620"/>
        <w:gridCol w:w="6739"/>
      </w:tblGrid>
      <w:tr>
        <w:tc>
          <w:tcPr>
            <w:tcW w:type="dxa" w:w="2620"/>
            <w:shd w:val="clear" w:color="auto" w:fill="F2F4F7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sz w:val="20"/>
              </w:rPr>
              <w:t xml:space="preserve">Subsidiary</w:t>
            </w:r>
          </w:p>
        </w:tc>
        <w:tc>
          <w:tcPr>
            <w:tcW w:type="dxa" w:w="6739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[TBC: which MinIO entity sells these items]</w:t>
            </w:r>
          </w:p>
        </w:tc>
      </w:tr>
      <w:tr>
        <w:tc>
          <w:tcPr>
            <w:tcW w:type="dxa" w:w="2620"/>
            <w:shd w:val="clear" w:color="auto" w:fill="F2F4F7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sz w:val="20"/>
              </w:rPr>
              <w:t xml:space="preserve">Include Children</w:t>
            </w:r>
          </w:p>
        </w:tc>
        <w:tc>
          <w:tcPr>
            <w:tcW w:type="dxa" w:w="6739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[TBC: Yes if child subsidiaries also sell them]</w:t>
            </w:r>
          </w:p>
        </w:tc>
      </w:tr>
      <w:tr>
        <w:tc>
          <w:tcPr>
            <w:tcW w:type="dxa" w:w="2620"/>
            <w:shd w:val="clear" w:color="auto" w:fill="F2F4F7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sz w:val="20"/>
              </w:rPr>
              <w:t xml:space="preserve">Sales Description</w:t>
            </w:r>
          </w:p>
        </w:tc>
        <w:tc>
          <w:tcPr>
            <w:tcW w:type="dxa" w:w="6739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[TBC: repeat the Display Name/Code, or other text]</w:t>
            </w:r>
          </w:p>
        </w:tc>
      </w:tr>
      <w:tr>
        <w:tc>
          <w:tcPr>
            <w:tcW w:type="dxa" w:w="2620"/>
            <w:shd w:val="clear" w:color="auto" w:fill="F2F4F7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sz w:val="20"/>
              </w:rPr>
              <w:t xml:space="preserve">Base Price</w:t>
            </w:r>
          </w:p>
        </w:tc>
        <w:tc>
          <w:tcPr>
            <w:tcW w:type="dxa" w:w="6739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[TBC: list price per item, or blank and priced on each order]</w:t>
            </w:r>
          </w:p>
        </w:tc>
      </w:tr>
      <w:tr>
        <w:tc>
          <w:tcPr>
            <w:tcW w:type="dxa" w:w="2620"/>
            <w:shd w:val="clear" w:color="auto" w:fill="F2F4F7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sz w:val="20"/>
              </w:rPr>
              <w:t xml:space="preserve">Create Revenue Plans On</w:t>
            </w:r>
          </w:p>
        </w:tc>
        <w:tc>
          <w:tcPr>
            <w:tcW w:type="dxa" w:w="6739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[TBC]</w:t>
            </w:r>
          </w:p>
        </w:tc>
      </w:tr>
      <w:tr>
        <w:tc>
          <w:tcPr>
            <w:tcW w:type="dxa" w:w="2620"/>
            <w:shd w:val="clear" w:color="auto" w:fill="F2F4F7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sz w:val="20"/>
              </w:rPr>
              <w:t xml:space="preserve">Direct Revenue Posting</w:t>
            </w:r>
          </w:p>
        </w:tc>
        <w:tc>
          <w:tcPr>
            <w:tcW w:type="dxa" w:w="6739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[TBC: usually No when revenue recognition runs in NetSuite]</w:t>
            </w:r>
          </w:p>
        </w:tc>
      </w:tr>
      <w:tr>
        <w:tc>
          <w:tcPr>
            <w:tcW w:type="dxa" w:w="2620"/>
            <w:shd w:val="clear" w:color="auto" w:fill="F2F4F7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Arial" w:hAnsi="Arial"/>
                <w:b/>
                <w:sz w:val="20"/>
              </w:rPr>
              <w:t xml:space="preserve">Can be fulfilled/received</w:t>
            </w:r>
          </w:p>
        </w:tc>
        <w:tc>
          <w:tcPr>
            <w:tcW w:type="dxa" w:w="6739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Arial" w:hAnsi="Arial"/>
                <w:sz w:val="20"/>
              </w:rPr>
              <w:t xml:space="preserve">[TBC: usually No for services and licenses]</w:t>
            </w:r>
          </w:p>
        </w:tc>
      </w:tr>
    </w:tbl>
    <w:bookmarkEnd w:id="23"/>
    <w:bookmarkStart w:id="24" w:name="open-questions"/>
    <w:p>
      <w:pPr>
        <w:pStyle w:val="Heading1"/>
      </w:pPr>
      <w:r>
        <w:t xml:space="preserve">Open questions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OEM license.</w:t>
      </w:r>
      <w:r>
        <w:t xml:space="preserve"> </w:t>
      </w:r>
      <w:r>
        <w:t xml:space="preserve">Does AIStor OEM License use the same accounts and rule as the direct licenses?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Platform training subscription.</w:t>
      </w:r>
      <w:r>
        <w:t xml:space="preserve"> </w:t>
      </w:r>
      <w:r>
        <w:t xml:space="preserve">Is it recognized like the live trainings or like a subscription?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Base Price.</w:t>
      </w:r>
      <w:r>
        <w:t xml:space="preserve"> </w:t>
      </w:r>
      <w:r>
        <w:t xml:space="preserve">Do these items have list prices?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Template header.</w:t>
      </w:r>
      <w:r>
        <w:t xml:space="preserve"> </w:t>
      </w:r>
      <w:r>
        <w:t xml:space="preserve">The template spells</w:t>
      </w:r>
      <w:r>
        <w:t xml:space="preserve"> </w:t>
      </w:r>
      <w:r>
        <w:rPr>
          <w:rStyle w:val="VerbatimChar"/>
        </w:rPr>
        <w:t xml:space="preserve">Revenue Recogition Rule</w:t>
      </w:r>
      <w:r>
        <w:t xml:space="preserve">. Kept as is; it only needs to match when mapping the import.</w:t>
      </w:r>
    </w:p>
    <w:bookmarkEnd w:id="24"/>
    <w:sect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color w:val="00000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color w:val="000000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color w:val="000000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left"/>
    </w:pPr>
    <w:rPr>
      <w:rFonts w:asciiTheme="majorHAnsi" w:cstheme="majorBidi" w:eastAsiaTheme="majorEastAsia" w:hAnsiTheme="majorHAnsi" w:ascii="Arial" w:hAnsi="Arial"/>
      <w:b/>
      <w:bCs/>
      <w:i w:val="0"/>
      <w:color w:val="000000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left"/>
    </w:pPr>
    <w:rPr>
      <w:rFonts w:ascii="Georgia" w:hAnsi="Georgia"/>
      <w:i/>
      <w:color w:val="666666"/>
      <w:sz w:val="3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/>
      <w:b/>
      <w:bCs/>
      <w:i w:val="0"/>
      <w:color w:val="2E74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/>
      <w:b/>
      <w:bCs/>
      <w:i w:val="0"/>
      <w:color w:val="2E74B5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/>
      <w:b/>
      <w:bCs/>
      <w:i w:val="0"/>
      <w:color w:val="1F4D78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i/>
      <w:color w:val="555555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NetSuite non-inventory items load</dc:title>
  <dc:creator/>
  <cp:keywords/>
  <dcterms:created xsi:type="dcterms:W3CDTF">2026-10-26T03:27:36Z</dcterms:created>
  <dcterms:modified xsi:type="dcterms:W3CDTF">2026-10-26T03:27:36Z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Non-inventory Item for Sale import: MINIO_-_Noninventory_for_Sale.csv</vt:lpwstr>
  </property>
</Properties>
</file>