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NetSuite non-inventory items load</w:t>
      </w:r>
    </w:p>
    <w:p>
      <w:pPr>
        <w:pStyle w:val="Subtitle"/>
      </w:pPr>
      <w:r>
        <w:t xml:space="preserve">Non-inventory Item for Sale import: MINIO_-_Noninventory_for_Sale.csv</w:t>
      </w:r>
    </w:p>
    <w:bookmarkStart w:id="20" w:name="overview"/>
    <w:p>
      <w:pPr>
        <w:pStyle w:val="Heading1"/>
      </w:pPr>
      <w:r>
        <w:t xml:space="preserve">Overview</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Record type</w:t>
            </w:r>
          </w:p>
        </w:tc>
        <w:tc>
          <w:tcPr>
            <w:tcW w:type="dxa" w:w="6739"/>
          </w:tcPr>
          <w:p>
            <w:pPr>
              <w:pStyle w:val="Compact"/>
              <w:spacing w:before="40" w:after="40"/>
              <w:jc w:val="left"/>
            </w:pPr>
            <w:r>
              <w:rPr>
                <w:rFonts w:ascii="Arial" w:hAnsi="Arial"/>
                <w:sz w:val="20"/>
              </w:rPr>
              <w:t xml:space="preserve">Items &gt; Non-inventory Item for Sale</w:t>
            </w:r>
          </w:p>
        </w:tc>
      </w:tr>
      <w:tr>
        <w:tc>
          <w:tcPr>
            <w:tcW w:type="dxa" w:w="2620"/>
            <w:shd w:val="clear" w:color="auto" w:fill="F2F4F7"/>
          </w:tcPr>
          <w:p>
            <w:pPr>
              <w:pStyle w:val="Compact"/>
              <w:spacing w:before="40" w:after="40"/>
              <w:jc w:val="left"/>
            </w:pPr>
            <w:r>
              <w:rPr>
                <w:bCs/>
                <w:rFonts w:ascii="Arial" w:hAnsi="Arial"/>
                <w:b/>
                <w:sz w:val="20"/>
              </w:rPr>
              <w:t xml:space="preserve">Load file</w:t>
            </w:r>
          </w:p>
        </w:tc>
        <w:tc>
          <w:tcPr>
            <w:tcW w:type="dxa" w:w="6739"/>
          </w:tcPr>
          <w:p>
            <w:pPr>
              <w:pStyle w:val="Compact"/>
              <w:spacing w:before="40" w:after="40"/>
              <w:jc w:val="left"/>
            </w:pPr>
            <w:r>
              <w:rPr>
                <w:rStyle w:val="VerbatimChar"/>
                <w:rFonts w:ascii="Arial" w:hAnsi="Arial"/>
                <w:sz w:val="20"/>
              </w:rPr>
              <w:t xml:space="preserve">MINIO_-_Noninventory_for_Sale.csv</w:t>
            </w:r>
          </w:p>
        </w:tc>
      </w:tr>
      <w:tr>
        <w:tc>
          <w:tcPr>
            <w:tcW w:type="dxa" w:w="2620"/>
            <w:shd w:val="clear" w:color="auto" w:fill="F2F4F7"/>
          </w:tcPr>
          <w:p>
            <w:pPr>
              <w:pStyle w:val="Compact"/>
              <w:spacing w:before="40" w:after="40"/>
              <w:jc w:val="left"/>
            </w:pPr>
            <w:r>
              <w:rPr>
                <w:bCs/>
                <w:rFonts w:ascii="Arial" w:hAnsi="Arial"/>
                <w:b/>
                <w:sz w:val="20"/>
              </w:rPr>
              <w:t xml:space="preserve">Items</w:t>
            </w:r>
          </w:p>
        </w:tc>
        <w:tc>
          <w:tcPr>
            <w:tcW w:type="dxa" w:w="6739"/>
          </w:tcPr>
          <w:p>
            <w:pPr>
              <w:pStyle w:val="Compact"/>
              <w:spacing w:before="40" w:after="40"/>
              <w:jc w:val="left"/>
            </w:pPr>
            <w:r>
              <w:rPr>
                <w:rFonts w:ascii="Arial" w:hAnsi="Arial"/>
                <w:sz w:val="20"/>
              </w:rPr>
              <w:t xml:space="preserve">11</w:t>
            </w:r>
          </w:p>
        </w:tc>
      </w:tr>
      <w:tr>
        <w:tc>
          <w:tcPr>
            <w:tcW w:type="dxa" w:w="2620"/>
            <w:shd w:val="clear" w:color="auto" w:fill="F2F4F7"/>
          </w:tcPr>
          <w:p>
            <w:pPr>
              <w:pStyle w:val="Compact"/>
              <w:spacing w:before="40" w:after="40"/>
              <w:jc w:val="left"/>
            </w:pPr>
            <w:r>
              <w:rPr>
                <w:bCs/>
                <w:rFonts w:ascii="Arial" w:hAnsi="Arial"/>
                <w:b/>
                <w:sz w:val="20"/>
              </w:rPr>
              <w:t xml:space="preserve">Source</w:t>
            </w:r>
          </w:p>
        </w:tc>
        <w:tc>
          <w:tcPr>
            <w:tcW w:type="dxa" w:w="6739"/>
          </w:tcPr>
          <w:p>
            <w:pPr>
              <w:pStyle w:val="Compact"/>
              <w:spacing w:before="40" w:after="40"/>
              <w:jc w:val="left"/>
            </w:pPr>
            <w:r>
              <w:rPr>
                <w:rFonts w:ascii="Arial" w:hAnsi="Arial"/>
                <w:sz w:val="20"/>
              </w:rPr>
              <w:t xml:space="preserve">Workbook</w:t>
            </w:r>
            <w:r>
              <w:rPr>
                <w:rFonts w:ascii="Arial" w:hAnsi="Arial"/>
                <w:sz w:val="20"/>
              </w:rPr>
              <w:t xml:space="preserve"> </w:t>
            </w:r>
            <w:r>
              <w:rPr>
                <w:rStyle w:val="VerbatimChar"/>
                <w:rFonts w:ascii="Arial" w:hAnsi="Arial"/>
                <w:sz w:val="20"/>
              </w:rPr>
              <w:t xml:space="preserve">MINIO-Dimensions-from-sage-20260825</w:t>
            </w:r>
            <w:r>
              <w:rPr>
                <w:rFonts w:ascii="Arial" w:hAnsi="Arial"/>
                <w:sz w:val="20"/>
              </w:rPr>
              <w:t xml:space="preserve">, tabs COA Draft v1, Departments Draft v1 and Items</w:t>
            </w:r>
          </w:p>
        </w:tc>
      </w:tr>
      <w:tr>
        <w:tc>
          <w:tcPr>
            <w:tcW w:type="dxa" w:w="2620"/>
            <w:shd w:val="clear" w:color="auto" w:fill="F2F4F7"/>
          </w:tcPr>
          <w:p>
            <w:pPr>
              <w:pStyle w:val="Compact"/>
              <w:spacing w:before="40" w:after="40"/>
              <w:jc w:val="left"/>
            </w:pPr>
            <w:r>
              <w:rPr>
                <w:bCs/>
                <w:rFonts w:ascii="Arial" w:hAnsi="Arial"/>
                <w:b/>
                <w:sz w:val="20"/>
              </w:rPr>
              <w:t xml:space="preserve">Filled</w:t>
            </w:r>
          </w:p>
        </w:tc>
        <w:tc>
          <w:tcPr>
            <w:tcW w:type="dxa" w:w="6739"/>
          </w:tcPr>
          <w:p>
            <w:pPr>
              <w:pStyle w:val="Compact"/>
              <w:spacing w:before="40" w:after="40"/>
              <w:jc w:val="left"/>
            </w:pPr>
            <w:r>
              <w:rPr>
                <w:rFonts w:ascii="Arial" w:hAnsi="Arial"/>
                <w:sz w:val="20"/>
              </w:rPr>
              <w:t xml:space="preserve">External ID, Item Name, Display Name/Code, Class, Subsidiary, Include Children, Sales Description, Income account, Deferred Revenue account</w:t>
            </w:r>
          </w:p>
        </w:tc>
      </w:tr>
      <w:tr>
        <w:tc>
          <w:tcPr>
            <w:tcW w:type="dxa" w:w="2620"/>
            <w:shd w:val="clear" w:color="auto" w:fill="F2F4F7"/>
          </w:tcPr>
          <w:p>
            <w:pPr>
              <w:pStyle w:val="Compact"/>
              <w:spacing w:before="40" w:after="40"/>
              <w:jc w:val="left"/>
            </w:pPr>
            <w:r>
              <w:rPr>
                <w:bCs/>
                <w:rFonts w:ascii="Arial" w:hAnsi="Arial"/>
                <w:b/>
                <w:sz w:val="20"/>
              </w:rPr>
              <w:t xml:space="preserve">Blank on purpose</w:t>
            </w:r>
          </w:p>
        </w:tc>
        <w:tc>
          <w:tcPr>
            <w:tcW w:type="dxa" w:w="6739"/>
          </w:tcPr>
          <w:p>
            <w:pPr>
              <w:pStyle w:val="Compact"/>
              <w:spacing w:before="40" w:after="40"/>
              <w:jc w:val="left"/>
            </w:pPr>
            <w:r>
              <w:rPr>
                <w:rFonts w:ascii="Arial" w:hAnsi="Arial"/>
                <w:sz w:val="20"/>
              </w:rPr>
              <w:t xml:space="preserve">Department, Base Price, Revenue Recogition Rule, Rev Rec Forecast Rule. No revenue recognition rules are set up yet</w:t>
            </w:r>
          </w:p>
        </w:tc>
      </w:tr>
      <w:tr>
        <w:tc>
          <w:tcPr>
            <w:tcW w:type="dxa" w:w="2620"/>
            <w:shd w:val="clear" w:color="auto" w:fill="F2F4F7"/>
          </w:tcPr>
          <w:p>
            <w:pPr>
              <w:pStyle w:val="Compact"/>
              <w:spacing w:before="40" w:after="40"/>
              <w:jc w:val="left"/>
            </w:pPr>
            <w:r>
              <w:rPr>
                <w:bCs/>
                <w:rFonts w:ascii="Arial" w:hAnsi="Arial"/>
                <w:b/>
                <w:sz w:val="20"/>
              </w:rPr>
              <w:t xml:space="preserve">Open</w:t>
            </w:r>
          </w:p>
        </w:tc>
        <w:tc>
          <w:tcPr>
            <w:tcW w:type="dxa" w:w="6739"/>
          </w:tcPr>
          <w:p>
            <w:pPr>
              <w:pStyle w:val="Compact"/>
              <w:spacing w:before="40" w:after="40"/>
              <w:jc w:val="left"/>
            </w:pPr>
            <w:r>
              <w:rPr>
                <w:rFonts w:ascii="Arial" w:hAnsi="Arial"/>
                <w:sz w:val="20"/>
              </w:rPr>
              <w:t xml:space="preserve">Create Revenue Plans On, Direct Revenue Posting, Can be fulfilled/received</w:t>
            </w:r>
          </w:p>
        </w:tc>
      </w:tr>
      <w:tr>
        <w:tc>
          <w:tcPr>
            <w:tcW w:type="dxa" w:w="2620"/>
            <w:shd w:val="clear" w:color="auto" w:fill="F2F4F7"/>
          </w:tcPr>
          <w:p>
            <w:pPr>
              <w:pStyle w:val="Compact"/>
              <w:spacing w:before="40" w:after="40"/>
              <w:jc w:val="left"/>
            </w:pPr>
            <w:r>
              <w:rPr>
                <w:bCs/>
                <w:rFonts w:ascii="Arial" w:hAnsi="Arial"/>
                <w:b/>
                <w:sz w:val="20"/>
              </w:rPr>
              <w:t xml:space="preserve">Status</w:t>
            </w:r>
          </w:p>
        </w:tc>
        <w:tc>
          <w:tcPr>
            <w:tcW w:type="dxa" w:w="6739"/>
          </w:tcPr>
          <w:p>
            <w:pPr>
              <w:pStyle w:val="Compact"/>
              <w:spacing w:before="40" w:after="40"/>
              <w:jc w:val="left"/>
            </w:pPr>
            <w:r>
              <w:rPr>
                <w:rFonts w:ascii="Arial" w:hAnsi="Arial"/>
                <w:sz w:val="20"/>
              </w:rPr>
              <w:t xml:space="preserve">Waiting on the license delivery trigger and the portal question</w:t>
            </w:r>
          </w:p>
        </w:tc>
      </w:tr>
    </w:tbl>
    <w:bookmarkEnd w:id="20"/>
    <w:bookmarkStart w:id="21" w:name="load-file"/>
    <w:p>
      <w:pPr>
        <w:pStyle w:val="Heading1"/>
      </w:pPr>
      <w:r>
        <w:t xml:space="preserve">Load file</w:t>
      </w:r>
    </w:p>
    <w:p>
      <w:pPr>
        <w:pStyle w:val="FirstParagraph"/>
      </w:pPr>
      <w:r>
        <w:rPr>
          <w:rStyle w:val="VerbatimChar"/>
        </w:rPr>
        <w:t xml:space="preserve">MINIO_-_Noninventory_for_Sale.csv</w:t>
      </w:r>
      <w:r>
        <w:t xml:space="preserve"> </w:t>
      </w:r>
      <w:r>
        <w:t xml:space="preserve">as it stands: 11 rows, 16 columns. Blank cells are still open. Scroll sideways to see every column.</w:t>
      </w:r>
    </w:p>
    <w:p>
      <w:pPr>
        <w:pStyle w:val="BodyText"/>
      </w:pPr>
      <w:r>
        <w:t xml:space="preserve">External ID and Item Name both use the item ID. Item Name/Number is the code and the import key. Display Name/Code is the readable name; NetSuite prints it on forms instead of the code when it is set. Sales Description is the longer line text on quotes and invoices.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936"/>
        <w:gridCol w:w="936"/>
        <w:gridCol w:w="936"/>
        <w:gridCol w:w="936"/>
        <w:gridCol w:w="936"/>
        <w:gridCol w:w="936"/>
        <w:gridCol w:w="936"/>
        <w:gridCol w:w="-4680"/>
        <w:gridCol w:w="936"/>
        <w:gridCol w:w="936"/>
        <w:gridCol w:w="936"/>
        <w:gridCol w:w="936"/>
        <w:gridCol w:w="936"/>
        <w:gridCol w:w="936"/>
        <w:gridCol w:w="936"/>
        <w:gridCol w:w="936"/>
      </w:tblGrid>
      <w:tr>
        <w:trPr>
          <w:tblHeader w:val="true"/>
        </w:trPr>
        <w:tc>
          <w:tcPr>
            <w:tcW w:type="dxa" w:w="936"/>
            <w:shd w:val="clear" w:color="auto" w:fill="1F3B5C"/>
          </w:tcPr>
          <w:p>
            <w:pPr>
              <w:pStyle w:val="Compact"/>
              <w:spacing w:before="40" w:after="40"/>
              <w:jc w:val="left"/>
            </w:pPr>
            <w:r>
              <w:rPr>
                <w:bCs/>
                <w:rFonts w:ascii="Arial" w:hAnsi="Arial"/>
                <w:b/>
                <w:color w:val="FFFFFF"/>
                <w:sz w:val="20"/>
              </w:rPr>
              <w:t xml:space="preserve">External ID</w:t>
            </w:r>
          </w:p>
        </w:tc>
        <w:tc>
          <w:tcPr>
            <w:tcW w:type="dxa" w:w="936"/>
            <w:shd w:val="clear" w:color="auto" w:fill="1F3B5C"/>
          </w:tcPr>
          <w:p>
            <w:pPr>
              <w:pStyle w:val="Compact"/>
              <w:spacing w:before="40" w:after="40"/>
              <w:jc w:val="left"/>
            </w:pPr>
            <w:r>
              <w:rPr>
                <w:bCs/>
                <w:rFonts w:ascii="Arial" w:hAnsi="Arial"/>
                <w:b/>
                <w:color w:val="FFFFFF"/>
                <w:sz w:val="20"/>
              </w:rPr>
              <w:t xml:space="preserve">Item Name</w:t>
            </w:r>
          </w:p>
        </w:tc>
        <w:tc>
          <w:tcPr>
            <w:tcW w:type="dxa" w:w="936"/>
            <w:shd w:val="clear" w:color="auto" w:fill="1F3B5C"/>
          </w:tcPr>
          <w:p>
            <w:pPr>
              <w:pStyle w:val="Compact"/>
              <w:spacing w:before="40" w:after="40"/>
              <w:jc w:val="left"/>
            </w:pPr>
            <w:r>
              <w:rPr>
                <w:bCs/>
                <w:rFonts w:ascii="Arial" w:hAnsi="Arial"/>
                <w:b/>
                <w:color w:val="FFFFFF"/>
                <w:sz w:val="20"/>
              </w:rPr>
              <w:t xml:space="preserve">Display Name/Code</w:t>
            </w:r>
          </w:p>
        </w:tc>
        <w:tc>
          <w:tcPr>
            <w:tcW w:type="dxa" w:w="936"/>
            <w:shd w:val="clear" w:color="auto" w:fill="1F3B5C"/>
          </w:tcPr>
          <w:p>
            <w:pPr>
              <w:pStyle w:val="Compact"/>
              <w:spacing w:before="40" w:after="40"/>
              <w:jc w:val="left"/>
            </w:pPr>
            <w:r>
              <w:rPr>
                <w:bCs/>
                <w:rFonts w:ascii="Arial" w:hAnsi="Arial"/>
                <w:b/>
                <w:color w:val="FFFFFF"/>
                <w:sz w:val="20"/>
              </w:rPr>
              <w:t xml:space="preserve">Department</w:t>
            </w:r>
          </w:p>
        </w:tc>
        <w:tc>
          <w:tcPr>
            <w:tcW w:type="dxa" w:w="936"/>
            <w:shd w:val="clear" w:color="auto" w:fill="1F3B5C"/>
          </w:tcPr>
          <w:p>
            <w:pPr>
              <w:pStyle w:val="Compact"/>
              <w:spacing w:before="40" w:after="40"/>
              <w:jc w:val="left"/>
            </w:pPr>
            <w:r>
              <w:rPr>
                <w:bCs/>
                <w:rFonts w:ascii="Arial" w:hAnsi="Arial"/>
                <w:b/>
                <w:color w:val="FFFFFF"/>
                <w:sz w:val="20"/>
              </w:rPr>
              <w:t xml:space="preserve">Class</w:t>
            </w:r>
          </w:p>
        </w:tc>
        <w:tc>
          <w:tcPr>
            <w:tcW w:type="dxa" w:w="936"/>
            <w:shd w:val="clear" w:color="auto" w:fill="1F3B5C"/>
          </w:tcPr>
          <w:p>
            <w:pPr>
              <w:pStyle w:val="Compact"/>
              <w:spacing w:before="40" w:after="40"/>
              <w:jc w:val="left"/>
            </w:pPr>
            <w:r>
              <w:rPr>
                <w:bCs/>
                <w:rFonts w:ascii="Arial" w:hAnsi="Arial"/>
                <w:b/>
                <w:color w:val="FFFFFF"/>
                <w:sz w:val="20"/>
              </w:rPr>
              <w:t xml:space="preserve">Subsidiary</w:t>
            </w:r>
          </w:p>
        </w:tc>
        <w:tc>
          <w:tcPr>
            <w:tcW w:type="dxa" w:w="936"/>
            <w:shd w:val="clear" w:color="auto" w:fill="1F3B5C"/>
          </w:tcPr>
          <w:p>
            <w:pPr>
              <w:pStyle w:val="Compact"/>
              <w:spacing w:before="40" w:after="40"/>
              <w:jc w:val="left"/>
            </w:pPr>
            <w:r>
              <w:rPr>
                <w:bCs/>
                <w:rFonts w:ascii="Arial" w:hAnsi="Arial"/>
                <w:b/>
                <w:color w:val="FFFFFF"/>
                <w:sz w:val="20"/>
              </w:rPr>
              <w:t xml:space="preserve">Include Children</w:t>
            </w:r>
          </w:p>
        </w:tc>
        <w:tc>
          <w:tcPr>
            <w:tcW w:type="dxa" w:w="-4680"/>
            <w:shd w:val="clear" w:color="auto" w:fill="1F3B5C"/>
          </w:tcPr>
          <w:p>
            <w:pPr>
              <w:pStyle w:val="Compact"/>
              <w:spacing w:before="40" w:after="40"/>
              <w:jc w:val="left"/>
            </w:pPr>
            <w:r>
              <w:rPr>
                <w:bCs/>
                <w:rFonts w:ascii="Arial" w:hAnsi="Arial"/>
                <w:b/>
                <w:color w:val="FFFFFF"/>
                <w:sz w:val="20"/>
              </w:rPr>
              <w:t xml:space="preserve">Sales Description</w:t>
            </w:r>
          </w:p>
        </w:tc>
        <w:tc>
          <w:tcPr>
            <w:tcW w:type="dxa" w:w="936"/>
            <w:shd w:val="clear" w:color="auto" w:fill="1F3B5C"/>
          </w:tcPr>
          <w:p>
            <w:pPr>
              <w:pStyle w:val="Compact"/>
              <w:spacing w:before="40" w:after="40"/>
              <w:jc w:val="left"/>
            </w:pPr>
            <w:r>
              <w:rPr>
                <w:bCs/>
                <w:rFonts w:ascii="Arial" w:hAnsi="Arial"/>
                <w:b/>
                <w:color w:val="FFFFFF"/>
                <w:sz w:val="20"/>
              </w:rPr>
              <w:t xml:space="preserve">Base Price</w:t>
            </w:r>
          </w:p>
        </w:tc>
        <w:tc>
          <w:tcPr>
            <w:tcW w:type="dxa" w:w="936"/>
            <w:shd w:val="clear" w:color="auto" w:fill="1F3B5C"/>
          </w:tcPr>
          <w:p>
            <w:pPr>
              <w:pStyle w:val="Compact"/>
              <w:spacing w:before="40" w:after="40"/>
              <w:jc w:val="left"/>
            </w:pPr>
            <w:r>
              <w:rPr>
                <w:bCs/>
                <w:rFonts w:ascii="Arial" w:hAnsi="Arial"/>
                <w:b/>
                <w:color w:val="FFFFFF"/>
                <w:sz w:val="20"/>
              </w:rPr>
              <w:t xml:space="preserve">Income account</w:t>
            </w:r>
          </w:p>
        </w:tc>
        <w:tc>
          <w:tcPr>
            <w:tcW w:type="dxa" w:w="936"/>
            <w:shd w:val="clear" w:color="auto" w:fill="1F3B5C"/>
          </w:tcPr>
          <w:p>
            <w:pPr>
              <w:pStyle w:val="Compact"/>
              <w:spacing w:before="40" w:after="40"/>
              <w:jc w:val="left"/>
            </w:pPr>
            <w:r>
              <w:rPr>
                <w:bCs/>
                <w:rFonts w:ascii="Arial" w:hAnsi="Arial"/>
                <w:b/>
                <w:color w:val="FFFFFF"/>
                <w:sz w:val="20"/>
              </w:rPr>
              <w:t xml:space="preserve">Deferred Revenue account</w:t>
            </w:r>
          </w:p>
        </w:tc>
        <w:tc>
          <w:tcPr>
            <w:tcW w:type="dxa" w:w="936"/>
            <w:shd w:val="clear" w:color="auto" w:fill="1F3B5C"/>
          </w:tcPr>
          <w:p>
            <w:pPr>
              <w:pStyle w:val="Compact"/>
              <w:spacing w:before="40" w:after="40"/>
              <w:jc w:val="left"/>
            </w:pPr>
            <w:r>
              <w:rPr>
                <w:bCs/>
                <w:rFonts w:ascii="Arial" w:hAnsi="Arial"/>
                <w:b/>
                <w:color w:val="FFFFFF"/>
                <w:sz w:val="20"/>
              </w:rPr>
              <w:t xml:space="preserve">Revenue Recogition Rule</w:t>
            </w:r>
          </w:p>
        </w:tc>
        <w:tc>
          <w:tcPr>
            <w:tcW w:type="dxa" w:w="936"/>
            <w:shd w:val="clear" w:color="auto" w:fill="1F3B5C"/>
          </w:tcPr>
          <w:p>
            <w:pPr>
              <w:pStyle w:val="Compact"/>
              <w:spacing w:before="40" w:after="40"/>
              <w:jc w:val="left"/>
            </w:pPr>
            <w:r>
              <w:rPr>
                <w:bCs/>
                <w:rFonts w:ascii="Arial" w:hAnsi="Arial"/>
                <w:b/>
                <w:color w:val="FFFFFF"/>
                <w:sz w:val="20"/>
              </w:rPr>
              <w:t xml:space="preserve">Rev Rec Forecast Rule</w:t>
            </w:r>
          </w:p>
        </w:tc>
        <w:tc>
          <w:tcPr>
            <w:tcW w:type="dxa" w:w="936"/>
            <w:shd w:val="clear" w:color="auto" w:fill="1F3B5C"/>
          </w:tcPr>
          <w:p>
            <w:pPr>
              <w:pStyle w:val="Compact"/>
              <w:spacing w:before="40" w:after="40"/>
              <w:jc w:val="left"/>
            </w:pPr>
            <w:r>
              <w:rPr>
                <w:bCs/>
                <w:rFonts w:ascii="Arial" w:hAnsi="Arial"/>
                <w:b/>
                <w:color w:val="FFFFFF"/>
                <w:sz w:val="20"/>
              </w:rPr>
              <w:t xml:space="preserve">Create Revenue Plans On</w:t>
            </w:r>
          </w:p>
        </w:tc>
        <w:tc>
          <w:tcPr>
            <w:tcW w:type="dxa" w:w="936"/>
            <w:shd w:val="clear" w:color="auto" w:fill="1F3B5C"/>
          </w:tcPr>
          <w:p>
            <w:pPr>
              <w:pStyle w:val="Compact"/>
              <w:spacing w:before="40" w:after="40"/>
              <w:jc w:val="left"/>
            </w:pPr>
            <w:r>
              <w:rPr>
                <w:bCs/>
                <w:rFonts w:ascii="Arial" w:hAnsi="Arial"/>
                <w:b/>
                <w:color w:val="FFFFFF"/>
                <w:sz w:val="20"/>
              </w:rPr>
              <w:t xml:space="preserve">Direct Revenue Posting</w:t>
            </w:r>
          </w:p>
        </w:tc>
        <w:tc>
          <w:tcPr>
            <w:tcW w:type="dxa" w:w="936"/>
            <w:shd w:val="clear" w:color="auto" w:fill="1F3B5C"/>
          </w:tcPr>
          <w:p>
            <w:pPr>
              <w:pStyle w:val="Compact"/>
              <w:spacing w:before="40" w:after="40"/>
              <w:jc w:val="left"/>
            </w:pPr>
            <w:r>
              <w:rPr>
                <w:bCs/>
                <w:rFonts w:ascii="Arial" w:hAnsi="Arial"/>
                <w:b/>
                <w:color w:val="FFFFFF"/>
                <w:sz w:val="20"/>
              </w:rPr>
              <w:t xml:space="preserve">Can be fulfilled/received</w:t>
            </w:r>
          </w:p>
        </w:tc>
      </w:tr>
      <w:tr>
        <w:tc>
          <w:tcPr>
            <w:tcW w:type="dxa" w:w="936"/>
          </w:tcPr>
          <w:p>
            <w:pPr>
              <w:pStyle w:val="Compact"/>
              <w:spacing w:before="40" w:after="40"/>
              <w:jc w:val="left"/>
            </w:pPr>
            <w:r>
              <w:rPr>
                <w:bCs/>
                <w:rFonts w:ascii="Arial" w:hAnsi="Arial"/>
                <w:b/>
                <w:sz w:val="20"/>
              </w:rPr>
              <w:t xml:space="preserve">NS-SUPT-SLA-1H-UPB</w:t>
            </w:r>
          </w:p>
        </w:tc>
        <w:tc>
          <w:tcPr>
            <w:tcW w:type="dxa" w:w="936"/>
          </w:tcPr>
          <w:p>
            <w:pPr>
              <w:pStyle w:val="Compact"/>
              <w:spacing w:before="40" w:after="40"/>
              <w:jc w:val="left"/>
            </w:pPr>
            <w:r>
              <w:rPr>
                <w:rFonts w:ascii="Arial" w:hAnsi="Arial"/>
                <w:sz w:val="20"/>
              </w:rPr>
              <w:t xml:space="preserve">NS-SUPT-SLA-1H-UPB</w:t>
            </w:r>
          </w:p>
        </w:tc>
        <w:tc>
          <w:tcPr>
            <w:tcW w:type="dxa" w:w="936"/>
          </w:tcPr>
          <w:p>
            <w:pPr>
              <w:pStyle w:val="Compact"/>
              <w:spacing w:before="40" w:after="40"/>
              <w:jc w:val="left"/>
            </w:pPr>
            <w:r>
              <w:rPr>
                <w:rFonts w:ascii="Arial" w:hAnsi="Arial"/>
                <w:sz w:val="20"/>
              </w:rPr>
              <w:t xml:space="preserve">1-Hour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1-hour response SLA and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NS-SUPT-SLA-4H-UPB</w:t>
            </w:r>
          </w:p>
        </w:tc>
        <w:tc>
          <w:tcPr>
            <w:tcW w:type="dxa" w:w="936"/>
          </w:tcPr>
          <w:p>
            <w:pPr>
              <w:pStyle w:val="Compact"/>
              <w:spacing w:before="40" w:after="40"/>
              <w:jc w:val="left"/>
            </w:pPr>
            <w:r>
              <w:rPr>
                <w:rFonts w:ascii="Arial" w:hAnsi="Arial"/>
                <w:sz w:val="20"/>
              </w:rPr>
              <w:t xml:space="preserve">NS-SUPT-SLA-4H-UPB</w:t>
            </w:r>
          </w:p>
        </w:tc>
        <w:tc>
          <w:tcPr>
            <w:tcW w:type="dxa" w:w="936"/>
          </w:tcPr>
          <w:p>
            <w:pPr>
              <w:pStyle w:val="Compact"/>
              <w:spacing w:before="40" w:after="40"/>
              <w:jc w:val="left"/>
            </w:pPr>
            <w:r>
              <w:rPr>
                <w:rFonts w:ascii="Arial" w:hAnsi="Arial"/>
                <w:sz w:val="20"/>
              </w:rPr>
              <w:t xml:space="preserve">4-Hour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4-hour response SLA and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NS-SUPT-SLA-24H-1PB</w:t>
            </w:r>
          </w:p>
        </w:tc>
        <w:tc>
          <w:tcPr>
            <w:tcW w:type="dxa" w:w="936"/>
          </w:tcPr>
          <w:p>
            <w:pPr>
              <w:pStyle w:val="Compact"/>
              <w:spacing w:before="40" w:after="40"/>
              <w:jc w:val="left"/>
            </w:pPr>
            <w:r>
              <w:rPr>
                <w:rFonts w:ascii="Arial" w:hAnsi="Arial"/>
                <w:sz w:val="20"/>
              </w:rPr>
              <w:t xml:space="preserve">NS-SUPT-SLA-24H-1PB</w:t>
            </w:r>
          </w:p>
        </w:tc>
        <w:tc>
          <w:tcPr>
            <w:tcW w:type="dxa" w:w="936"/>
          </w:tcPr>
          <w:p>
            <w:pPr>
              <w:pStyle w:val="Compact"/>
              <w:spacing w:before="40" w:after="40"/>
              <w:jc w:val="left"/>
            </w:pPr>
            <w:r>
              <w:rPr>
                <w:rFonts w:ascii="Arial" w:hAnsi="Arial"/>
                <w:sz w:val="20"/>
              </w:rPr>
              <w:t xml:space="preserve">24-Hour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24-hour response SLA and 1 Panic Button per year.</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NS-SUPT-SLA-48H-1PB</w:t>
            </w:r>
          </w:p>
        </w:tc>
        <w:tc>
          <w:tcPr>
            <w:tcW w:type="dxa" w:w="936"/>
          </w:tcPr>
          <w:p>
            <w:pPr>
              <w:pStyle w:val="Compact"/>
              <w:spacing w:before="40" w:after="40"/>
              <w:jc w:val="left"/>
            </w:pPr>
            <w:r>
              <w:rPr>
                <w:rFonts w:ascii="Arial" w:hAnsi="Arial"/>
                <w:sz w:val="20"/>
              </w:rPr>
              <w:t xml:space="preserve">NS-SUPT-SLA-48H-1PB</w:t>
            </w:r>
          </w:p>
        </w:tc>
        <w:tc>
          <w:tcPr>
            <w:tcW w:type="dxa" w:w="936"/>
          </w:tcPr>
          <w:p>
            <w:pPr>
              <w:pStyle w:val="Compact"/>
              <w:spacing w:before="40" w:after="40"/>
              <w:jc w:val="left"/>
            </w:pPr>
            <w:r>
              <w:rPr>
                <w:rFonts w:ascii="Arial" w:hAnsi="Arial"/>
                <w:sz w:val="20"/>
              </w:rPr>
              <w:t xml:space="preserve">48-Hour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48-hour response SLA and 1 Panic Button per year.</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NS-SUPT-SLA-5D-0PB</w:t>
            </w:r>
          </w:p>
        </w:tc>
        <w:tc>
          <w:tcPr>
            <w:tcW w:type="dxa" w:w="936"/>
          </w:tcPr>
          <w:p>
            <w:pPr>
              <w:pStyle w:val="Compact"/>
              <w:spacing w:before="40" w:after="40"/>
              <w:jc w:val="left"/>
            </w:pPr>
            <w:r>
              <w:rPr>
                <w:rFonts w:ascii="Arial" w:hAnsi="Arial"/>
                <w:sz w:val="20"/>
              </w:rPr>
              <w:t xml:space="preserve">NS-SUPT-SLA-5D-0PB</w:t>
            </w:r>
          </w:p>
        </w:tc>
        <w:tc>
          <w:tcPr>
            <w:tcW w:type="dxa" w:w="936"/>
          </w:tcPr>
          <w:p>
            <w:pPr>
              <w:pStyle w:val="Compact"/>
              <w:spacing w:before="40" w:after="40"/>
              <w:jc w:val="left"/>
            </w:pPr>
            <w:r>
              <w:rPr>
                <w:rFonts w:ascii="Arial" w:hAnsi="Arial"/>
                <w:sz w:val="20"/>
              </w:rPr>
              <w:t xml:space="preserve">5-day SLA / No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5-business-day response SLA. No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NS-TRAIN-LV-3D</w:t>
            </w:r>
          </w:p>
        </w:tc>
        <w:tc>
          <w:tcPr>
            <w:tcW w:type="dxa" w:w="936"/>
          </w:tcPr>
          <w:p>
            <w:pPr>
              <w:pStyle w:val="Compact"/>
              <w:spacing w:before="40" w:after="40"/>
              <w:jc w:val="left"/>
            </w:pPr>
            <w:r>
              <w:rPr>
                <w:rFonts w:ascii="Arial" w:hAnsi="Arial"/>
                <w:sz w:val="20"/>
              </w:rPr>
              <w:t xml:space="preserve">NS-TRAIN-LV-3D</w:t>
            </w:r>
          </w:p>
        </w:tc>
        <w:tc>
          <w:tcPr>
            <w:tcW w:type="dxa" w:w="936"/>
          </w:tcPr>
          <w:p>
            <w:pPr>
              <w:pStyle w:val="Compact"/>
              <w:spacing w:before="40" w:after="40"/>
              <w:jc w:val="left"/>
            </w:pPr>
            <w:r>
              <w:rPr>
                <w:rFonts w:ascii="Arial" w:hAnsi="Arial"/>
                <w:sz w:val="20"/>
              </w:rPr>
              <w:t xml:space="preserve">3-day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training: 3-day live virtual class.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NS-TRAIN-LV-4D</w:t>
            </w:r>
          </w:p>
        </w:tc>
        <w:tc>
          <w:tcPr>
            <w:tcW w:type="dxa" w:w="936"/>
          </w:tcPr>
          <w:p>
            <w:pPr>
              <w:pStyle w:val="Compact"/>
              <w:spacing w:before="40" w:after="40"/>
              <w:jc w:val="left"/>
            </w:pPr>
            <w:r>
              <w:rPr>
                <w:rFonts w:ascii="Arial" w:hAnsi="Arial"/>
                <w:sz w:val="20"/>
              </w:rPr>
              <w:t xml:space="preserve">NS-TRAIN-LV-4D</w:t>
            </w:r>
          </w:p>
        </w:tc>
        <w:tc>
          <w:tcPr>
            <w:tcW w:type="dxa" w:w="936"/>
          </w:tcPr>
          <w:p>
            <w:pPr>
              <w:pStyle w:val="Compact"/>
              <w:spacing w:before="40" w:after="40"/>
              <w:jc w:val="left"/>
            </w:pPr>
            <w:r>
              <w:rPr>
                <w:rFonts w:ascii="Arial" w:hAnsi="Arial"/>
                <w:sz w:val="20"/>
              </w:rPr>
              <w:t xml:space="preserve">4-day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training: 4-day live virtual class.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NS-TRAIN-PLATFORM</w:t>
            </w:r>
          </w:p>
        </w:tc>
        <w:tc>
          <w:tcPr>
            <w:tcW w:type="dxa" w:w="936"/>
          </w:tcPr>
          <w:p>
            <w:pPr>
              <w:pStyle w:val="Compact"/>
              <w:spacing w:before="40" w:after="40"/>
              <w:jc w:val="left"/>
            </w:pPr>
            <w:r>
              <w:rPr>
                <w:rFonts w:ascii="Arial" w:hAnsi="Arial"/>
                <w:sz w:val="20"/>
              </w:rPr>
              <w:t xml:space="preserve">NS-TRAIN-PLATFORM</w:t>
            </w:r>
          </w:p>
        </w:tc>
        <w:tc>
          <w:tcPr>
            <w:tcW w:type="dxa" w:w="936"/>
          </w:tcPr>
          <w:p>
            <w:pPr>
              <w:pStyle w:val="Compact"/>
              <w:spacing w:before="40" w:after="40"/>
              <w:jc w:val="left"/>
            </w:pPr>
            <w:r>
              <w:rPr>
                <w:rFonts w:ascii="Arial" w:hAnsi="Arial"/>
                <w:sz w:val="20"/>
              </w:rPr>
              <w:t xml:space="preserve">Single Training Subscription to Platform</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Learning Subscription for one learner: on-demand courses and hands-on labs on the MinIO Academy platform.</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NS-LIC-AISTOR</w:t>
            </w:r>
          </w:p>
        </w:tc>
        <w:tc>
          <w:tcPr>
            <w:tcW w:type="dxa" w:w="936"/>
          </w:tcPr>
          <w:p>
            <w:pPr>
              <w:pStyle w:val="Compact"/>
              <w:spacing w:before="40" w:after="40"/>
              <w:jc w:val="left"/>
            </w:pPr>
            <w:r>
              <w:rPr>
                <w:rFonts w:ascii="Arial" w:hAnsi="Arial"/>
                <w:sz w:val="20"/>
              </w:rPr>
              <w:t xml:space="preserve">NS-LIC-AISTOR</w:t>
            </w:r>
          </w:p>
        </w:tc>
        <w:tc>
          <w:tcPr>
            <w:tcW w:type="dxa" w:w="936"/>
          </w:tcPr>
          <w:p>
            <w:pPr>
              <w:pStyle w:val="Compact"/>
              <w:spacing w:before="40" w:after="40"/>
              <w:jc w:val="left"/>
            </w:pPr>
            <w:r>
              <w:rPr>
                <w:rFonts w:ascii="Arial" w:hAnsi="Arial"/>
                <w:sz w:val="20"/>
              </w:rPr>
              <w:t xml:space="preserve">AIStor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AIStor software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NS-OEM-LIC-AISTOR</w:t>
            </w:r>
          </w:p>
        </w:tc>
        <w:tc>
          <w:tcPr>
            <w:tcW w:type="dxa" w:w="936"/>
          </w:tcPr>
          <w:p>
            <w:pPr>
              <w:pStyle w:val="Compact"/>
              <w:spacing w:before="40" w:after="40"/>
              <w:jc w:val="left"/>
            </w:pPr>
            <w:r>
              <w:rPr>
                <w:rFonts w:ascii="Arial" w:hAnsi="Arial"/>
                <w:sz w:val="20"/>
              </w:rPr>
              <w:t xml:space="preserve">NS-OEM-LIC-AISTOR</w:t>
            </w:r>
          </w:p>
        </w:tc>
        <w:tc>
          <w:tcPr>
            <w:tcW w:type="dxa" w:w="936"/>
          </w:tcPr>
          <w:p>
            <w:pPr>
              <w:pStyle w:val="Compact"/>
              <w:spacing w:before="40" w:after="40"/>
              <w:jc w:val="left"/>
            </w:pPr>
            <w:r>
              <w:rPr>
                <w:rFonts w:ascii="Arial" w:hAnsi="Arial"/>
                <w:sz w:val="20"/>
              </w:rPr>
              <w:t xml:space="preserve">AIStor OEM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AIStor software license for OEM partners, for resale to their customers.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NS-LIC-MEMKV</w:t>
            </w:r>
          </w:p>
        </w:tc>
        <w:tc>
          <w:tcPr>
            <w:tcW w:type="dxa" w:w="936"/>
          </w:tcPr>
          <w:p>
            <w:pPr>
              <w:pStyle w:val="Compact"/>
              <w:spacing w:before="40" w:after="40"/>
              <w:jc w:val="left"/>
            </w:pPr>
            <w:r>
              <w:rPr>
                <w:rFonts w:ascii="Arial" w:hAnsi="Arial"/>
                <w:sz w:val="20"/>
              </w:rPr>
              <w:t xml:space="preserve">NS-LIC-MEMKV</w:t>
            </w:r>
          </w:p>
        </w:tc>
        <w:tc>
          <w:tcPr>
            <w:tcW w:type="dxa" w:w="936"/>
          </w:tcPr>
          <w:p>
            <w:pPr>
              <w:pStyle w:val="Compact"/>
              <w:spacing w:before="40" w:after="40"/>
              <w:jc w:val="left"/>
            </w:pPr>
            <w:r>
              <w:rPr>
                <w:rFonts w:ascii="Arial" w:hAnsi="Arial"/>
                <w:sz w:val="20"/>
              </w:rPr>
              <w:t xml:space="preserve">MemKV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MemKV software license: distributed context memory store for AI inference.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bl>
    <w:bookmarkEnd w:id="21"/>
    <w:bookmarkStart w:id="22" w:name="values-by-group"/>
    <w:p>
      <w:pPr>
        <w:pStyle w:val="Heading1"/>
      </w:pPr>
      <w:r>
        <w:t xml:space="preserve">Values by group</w:t>
      </w:r>
    </w:p>
    <w:p>
      <w:pPr>
        <w:pStyle w:val="FirstParagraph"/>
      </w:pPr>
      <w:r>
        <w:t xml:space="preserve">Every item in a group gets the same values.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529"/>
        <w:gridCol w:w="2276"/>
        <w:gridCol w:w="2276"/>
        <w:gridCol w:w="2276"/>
      </w:tblGrid>
      <w:tr>
        <w:trPr>
          <w:tblHeader w:val="true"/>
        </w:trPr>
        <w:tc>
          <w:tcPr>
            <w:tcW w:type="dxa" w:w="2529"/>
            <w:shd w:val="clear" w:color="auto" w:fill="1F3B5C"/>
          </w:tcPr>
          <w:p>
            <w:pPr>
              <w:pStyle w:val="Compact"/>
              <w:spacing w:before="40" w:after="40"/>
              <w:jc w:val="left"/>
            </w:pPr>
            <w:r>
              <w:rPr>
                <w:bCs/>
                <w:rFonts w:ascii="Arial" w:hAnsi="Arial"/>
                <w:b/>
                <w:color w:val="FFFFFF"/>
                <w:sz w:val="20"/>
              </w:rPr>
              <w:t xml:space="preserve">Column</w:t>
            </w:r>
          </w:p>
        </w:tc>
        <w:tc>
          <w:tcPr>
            <w:tcW w:type="dxa" w:w="2276"/>
            <w:shd w:val="clear" w:color="auto" w:fill="1F3B5C"/>
          </w:tcPr>
          <w:p>
            <w:pPr>
              <w:pStyle w:val="Compact"/>
              <w:spacing w:before="40" w:after="40"/>
              <w:jc w:val="left"/>
            </w:pPr>
            <w:r>
              <w:rPr>
                <w:bCs/>
                <w:rFonts w:ascii="Arial" w:hAnsi="Arial"/>
                <w:b/>
                <w:color w:val="FFFFFF"/>
                <w:sz w:val="20"/>
              </w:rPr>
              <w:t xml:space="preserve">Support</w:t>
            </w:r>
          </w:p>
        </w:tc>
        <w:tc>
          <w:tcPr>
            <w:tcW w:type="dxa" w:w="2276"/>
            <w:shd w:val="clear" w:color="auto" w:fill="1F3B5C"/>
          </w:tcPr>
          <w:p>
            <w:pPr>
              <w:pStyle w:val="Compact"/>
              <w:spacing w:before="40" w:after="40"/>
              <w:jc w:val="left"/>
            </w:pPr>
            <w:r>
              <w:rPr>
                <w:bCs/>
                <w:rFonts w:ascii="Arial" w:hAnsi="Arial"/>
                <w:b/>
                <w:color w:val="FFFFFF"/>
                <w:sz w:val="20"/>
              </w:rPr>
              <w:t xml:space="preserve">Training</w:t>
            </w:r>
          </w:p>
        </w:tc>
        <w:tc>
          <w:tcPr>
            <w:tcW w:type="dxa" w:w="2276"/>
            <w:shd w:val="clear" w:color="auto" w:fill="1F3B5C"/>
          </w:tcPr>
          <w:p>
            <w:pPr>
              <w:pStyle w:val="Compact"/>
              <w:spacing w:before="40" w:after="40"/>
              <w:jc w:val="left"/>
            </w:pPr>
            <w:r>
              <w:rPr>
                <w:bCs/>
                <w:rFonts w:ascii="Arial" w:hAnsi="Arial"/>
                <w:b/>
                <w:color w:val="FFFFFF"/>
                <w:sz w:val="20"/>
              </w:rPr>
              <w:t xml:space="preserve">License</w:t>
            </w:r>
          </w:p>
        </w:tc>
      </w:tr>
      <w:tr>
        <w:tc>
          <w:tcPr>
            <w:tcW w:type="dxa" w:w="2529"/>
          </w:tcPr>
          <w:p>
            <w:pPr>
              <w:pStyle w:val="Compact"/>
              <w:spacing w:before="40" w:after="40"/>
              <w:jc w:val="left"/>
            </w:pPr>
            <w:r>
              <w:rPr>
                <w:bCs/>
                <w:rFonts w:ascii="Arial" w:hAnsi="Arial"/>
                <w:b/>
                <w:sz w:val="20"/>
              </w:rPr>
              <w:t xml:space="preserve">Department</w:t>
            </w:r>
          </w:p>
        </w:tc>
        <w:tc>
          <w:tcPr>
            <w:tcW w:type="dxa" w:w="2276"/>
          </w:tcPr>
          <w:p>
            <w:pPr>
              <w:pStyle w:val="Compact"/>
              <w:spacing w:before="40" w:after="40"/>
              <w:jc w:val="left"/>
            </w:pPr>
            <w:r>
              <w:rPr>
                <w:rFonts w:ascii="Arial" w:hAnsi="Arial"/>
                <w:sz w:val="20"/>
              </w:rPr>
              <w:t xml:space="preserve">None for now</w:t>
            </w:r>
          </w:p>
        </w:tc>
        <w:tc>
          <w:tcPr>
            <w:tcW w:type="dxa" w:w="2276"/>
          </w:tcPr>
          <w:p>
            <w:pPr>
              <w:pStyle w:val="Compact"/>
              <w:spacing w:before="40" w:after="40"/>
              <w:jc w:val="left"/>
            </w:pPr>
            <w:r>
              <w:rPr>
                <w:rFonts w:ascii="Arial" w:hAnsi="Arial"/>
                <w:sz w:val="20"/>
              </w:rPr>
              <w:t xml:space="preserve">None for now</w:t>
            </w:r>
          </w:p>
        </w:tc>
        <w:tc>
          <w:tcPr>
            <w:tcW w:type="dxa" w:w="2276"/>
          </w:tcPr>
          <w:p>
            <w:pPr>
              <w:pStyle w:val="Compact"/>
              <w:spacing w:before="40" w:after="40"/>
              <w:jc w:val="left"/>
            </w:pPr>
            <w:r>
              <w:rPr>
                <w:rFonts w:ascii="Arial" w:hAnsi="Arial"/>
                <w:sz w:val="20"/>
              </w:rPr>
              <w:t xml:space="preserve">None for now</w:t>
            </w:r>
          </w:p>
        </w:tc>
      </w:tr>
      <w:tr>
        <w:tc>
          <w:tcPr>
            <w:tcW w:type="dxa" w:w="2529"/>
          </w:tcPr>
          <w:p>
            <w:pPr>
              <w:pStyle w:val="Compact"/>
              <w:spacing w:before="40" w:after="40"/>
              <w:jc w:val="left"/>
            </w:pPr>
            <w:r>
              <w:rPr>
                <w:bCs/>
                <w:rFonts w:ascii="Arial" w:hAnsi="Arial"/>
                <w:b/>
                <w:sz w:val="20"/>
              </w:rPr>
              <w:t xml:space="preserve">Class</w:t>
            </w:r>
          </w:p>
        </w:tc>
        <w:tc>
          <w:tcPr>
            <w:tcW w:type="dxa" w:w="2276"/>
          </w:tcPr>
          <w:p>
            <w:pPr>
              <w:pStyle w:val="Compact"/>
              <w:spacing w:before="40" w:after="40"/>
              <w:jc w:val="left"/>
            </w:pPr>
            <w:r>
              <w:rPr>
                <w:rFonts w:ascii="Arial" w:hAnsi="Arial"/>
                <w:sz w:val="20"/>
              </w:rPr>
              <w:t xml:space="preserve">Support</w:t>
            </w:r>
          </w:p>
        </w:tc>
        <w:tc>
          <w:tcPr>
            <w:tcW w:type="dxa" w:w="2276"/>
          </w:tcPr>
          <w:p>
            <w:pPr>
              <w:pStyle w:val="Compact"/>
              <w:spacing w:before="40" w:after="40"/>
              <w:jc w:val="left"/>
            </w:pPr>
            <w:r>
              <w:rPr>
                <w:rFonts w:ascii="Arial" w:hAnsi="Arial"/>
                <w:sz w:val="20"/>
              </w:rPr>
              <w:t xml:space="preserve">Training</w:t>
            </w:r>
          </w:p>
        </w:tc>
        <w:tc>
          <w:tcPr>
            <w:tcW w:type="dxa" w:w="2276"/>
          </w:tcPr>
          <w:p>
            <w:pPr>
              <w:pStyle w:val="Compact"/>
              <w:spacing w:before="40" w:after="40"/>
              <w:jc w:val="left"/>
            </w:pPr>
            <w:r>
              <w:rPr>
                <w:rFonts w:ascii="Arial" w:hAnsi="Arial"/>
                <w:sz w:val="20"/>
              </w:rPr>
              <w:t xml:space="preserve">License</w:t>
            </w:r>
          </w:p>
        </w:tc>
      </w:tr>
      <w:tr>
        <w:tc>
          <w:tcPr>
            <w:tcW w:type="dxa" w:w="2529"/>
          </w:tcPr>
          <w:p>
            <w:pPr>
              <w:pStyle w:val="Compact"/>
              <w:spacing w:before="40" w:after="40"/>
              <w:jc w:val="left"/>
            </w:pPr>
            <w:r>
              <w:rPr>
                <w:bCs/>
                <w:rFonts w:ascii="Arial" w:hAnsi="Arial"/>
                <w:b/>
                <w:sz w:val="20"/>
              </w:rPr>
              <w:t xml:space="preserve">Income account</w:t>
            </w:r>
          </w:p>
        </w:tc>
        <w:tc>
          <w:tcPr>
            <w:tcW w:type="dxa" w:w="2276"/>
          </w:tcPr>
          <w:p>
            <w:pPr>
              <w:pStyle w:val="Compact"/>
              <w:spacing w:before="40" w:after="40"/>
              <w:jc w:val="left"/>
            </w:pPr>
            <w:r>
              <w:rPr>
                <w:rFonts w:ascii="Arial" w:hAnsi="Arial"/>
                <w:sz w:val="20"/>
              </w:rPr>
              <w:t xml:space="preserve">41200 Support Revenue</w:t>
            </w:r>
          </w:p>
        </w:tc>
        <w:tc>
          <w:tcPr>
            <w:tcW w:type="dxa" w:w="2276"/>
          </w:tcPr>
          <w:p>
            <w:pPr>
              <w:pStyle w:val="Compact"/>
              <w:spacing w:before="40" w:after="40"/>
              <w:jc w:val="left"/>
            </w:pPr>
            <w:r>
              <w:rPr>
                <w:rFonts w:ascii="Arial" w:hAnsi="Arial"/>
                <w:sz w:val="20"/>
              </w:rPr>
              <w:t xml:space="preserve">42200 Training Revenue</w:t>
            </w:r>
          </w:p>
        </w:tc>
        <w:tc>
          <w:tcPr>
            <w:tcW w:type="dxa" w:w="2276"/>
          </w:tcPr>
          <w:p>
            <w:pPr>
              <w:pStyle w:val="Compact"/>
              <w:spacing w:before="40" w:after="40"/>
              <w:jc w:val="left"/>
            </w:pPr>
            <w:r>
              <w:rPr>
                <w:rFonts w:ascii="Arial" w:hAnsi="Arial"/>
                <w:sz w:val="20"/>
              </w:rPr>
              <w:t xml:space="preserve">41100 License Revenue</w:t>
            </w:r>
          </w:p>
        </w:tc>
      </w:tr>
      <w:tr>
        <w:tc>
          <w:tcPr>
            <w:tcW w:type="dxa" w:w="2529"/>
          </w:tcPr>
          <w:p>
            <w:pPr>
              <w:pStyle w:val="Compact"/>
              <w:spacing w:before="40" w:after="40"/>
              <w:jc w:val="left"/>
            </w:pPr>
            <w:r>
              <w:rPr>
                <w:bCs/>
                <w:rFonts w:ascii="Arial" w:hAnsi="Arial"/>
                <w:b/>
                <w:sz w:val="20"/>
              </w:rPr>
              <w:t xml:space="preserve">Deferred Revenue account</w:t>
            </w:r>
          </w:p>
        </w:tc>
        <w:tc>
          <w:tcPr>
            <w:tcW w:type="dxa" w:w="2276"/>
          </w:tcPr>
          <w:p>
            <w:pPr>
              <w:pStyle w:val="Compact"/>
              <w:spacing w:before="40" w:after="40"/>
              <w:jc w:val="left"/>
            </w:pPr>
            <w:r>
              <w:rPr>
                <w:rFonts w:ascii="Arial" w:hAnsi="Arial"/>
                <w:sz w:val="20"/>
              </w:rPr>
              <w:t xml:space="preserve">23100 Deferred Revenue - ST</w:t>
            </w:r>
          </w:p>
        </w:tc>
        <w:tc>
          <w:tcPr>
            <w:tcW w:type="dxa" w:w="2276"/>
          </w:tcPr>
          <w:p>
            <w:pPr>
              <w:pStyle w:val="Compact"/>
              <w:spacing w:before="40" w:after="40"/>
              <w:jc w:val="left"/>
            </w:pPr>
            <w:r>
              <w:rPr>
                <w:rFonts w:ascii="Arial" w:hAnsi="Arial"/>
                <w:sz w:val="20"/>
              </w:rPr>
              <w:t xml:space="preserve">23100 Deferred Revenue - ST</w:t>
            </w:r>
          </w:p>
        </w:tc>
        <w:tc>
          <w:tcPr>
            <w:tcW w:type="dxa" w:w="2276"/>
          </w:tcPr>
          <w:p>
            <w:pPr>
              <w:pStyle w:val="Compact"/>
              <w:spacing w:before="40" w:after="40"/>
              <w:jc w:val="left"/>
            </w:pPr>
            <w:r>
              <w:rPr>
                <w:rFonts w:ascii="Arial" w:hAnsi="Arial"/>
                <w:sz w:val="20"/>
              </w:rPr>
              <w:t xml:space="preserve">23100 Deferred Revenue - ST</w:t>
            </w:r>
          </w:p>
        </w:tc>
      </w:tr>
      <w:tr>
        <w:tc>
          <w:tcPr>
            <w:tcW w:type="dxa" w:w="2529"/>
          </w:tcPr>
          <w:p>
            <w:pPr>
              <w:pStyle w:val="Compact"/>
              <w:spacing w:before="40" w:after="40"/>
              <w:jc w:val="left"/>
            </w:pPr>
            <w:r>
              <w:rPr>
                <w:bCs/>
                <w:rFonts w:ascii="Arial" w:hAnsi="Arial"/>
                <w:b/>
                <w:sz w:val="20"/>
              </w:rPr>
              <w:t xml:space="preserve">Revenue Recogition Rule</w:t>
            </w:r>
          </w:p>
        </w:tc>
        <w:tc>
          <w:tcPr>
            <w:tcW w:type="dxa" w:w="2276"/>
          </w:tcPr>
          <w:p>
            <w:pPr>
              <w:pStyle w:val="Compact"/>
              <w:spacing w:before="40" w:after="40"/>
              <w:jc w:val="left"/>
            </w:pPr>
            <w:r>
              <w:rPr>
                <w:rFonts w:ascii="Arial" w:hAnsi="Arial"/>
                <w:sz w:val="20"/>
              </w:rPr>
              <w:t xml:space="preserve">Blank: no rules set up yet</w:t>
            </w:r>
          </w:p>
        </w:tc>
        <w:tc>
          <w:tcPr>
            <w:tcW w:type="dxa" w:w="2276"/>
          </w:tcPr>
          <w:p>
            <w:pPr>
              <w:pStyle w:val="Compact"/>
              <w:spacing w:before="40" w:after="40"/>
              <w:jc w:val="left"/>
            </w:pPr>
            <w:r>
              <w:rPr>
                <w:rFonts w:ascii="Arial" w:hAnsi="Arial"/>
                <w:sz w:val="20"/>
              </w:rPr>
              <w:t xml:space="preserve">Blank</w:t>
            </w:r>
          </w:p>
        </w:tc>
        <w:tc>
          <w:tcPr>
            <w:tcW w:type="dxa" w:w="2276"/>
          </w:tcPr>
          <w:p>
            <w:pPr>
              <w:pStyle w:val="Compact"/>
              <w:spacing w:before="40" w:after="40"/>
              <w:jc w:val="left"/>
            </w:pPr>
            <w:r>
              <w:rPr>
                <w:rFonts w:ascii="Arial" w:hAnsi="Arial"/>
                <w:sz w:val="20"/>
              </w:rPr>
              <w:t xml:space="preserve">Blank</w:t>
            </w:r>
          </w:p>
        </w:tc>
      </w:tr>
      <w:tr>
        <w:tc>
          <w:tcPr>
            <w:tcW w:type="dxa" w:w="2529"/>
          </w:tcPr>
          <w:p>
            <w:pPr>
              <w:pStyle w:val="Compact"/>
              <w:spacing w:before="40" w:after="40"/>
              <w:jc w:val="left"/>
            </w:pPr>
            <w:r>
              <w:rPr>
                <w:bCs/>
                <w:rFonts w:ascii="Arial" w:hAnsi="Arial"/>
                <w:b/>
                <w:sz w:val="20"/>
              </w:rPr>
              <w:t xml:space="preserve">Rev Rec Forecast Rule</w:t>
            </w:r>
          </w:p>
        </w:tc>
        <w:tc>
          <w:tcPr>
            <w:tcW w:type="dxa" w:w="2276"/>
          </w:tcPr>
          <w:p>
            <w:pPr>
              <w:pStyle w:val="Compact"/>
              <w:spacing w:before="40" w:after="40"/>
              <w:jc w:val="left"/>
            </w:pPr>
            <w:r>
              <w:rPr>
                <w:rFonts w:ascii="Arial" w:hAnsi="Arial"/>
                <w:sz w:val="20"/>
              </w:rPr>
              <w:t xml:space="preserve">Blank: no rules set up yet</w:t>
            </w:r>
          </w:p>
        </w:tc>
        <w:tc>
          <w:tcPr>
            <w:tcW w:type="dxa" w:w="2276"/>
          </w:tcPr>
          <w:p>
            <w:pPr>
              <w:pStyle w:val="Compact"/>
              <w:spacing w:before="40" w:after="40"/>
              <w:jc w:val="left"/>
            </w:pPr>
            <w:r>
              <w:rPr>
                <w:rFonts w:ascii="Arial" w:hAnsi="Arial"/>
                <w:sz w:val="20"/>
              </w:rPr>
              <w:t xml:space="preserve">Blank</w:t>
            </w:r>
          </w:p>
        </w:tc>
        <w:tc>
          <w:tcPr>
            <w:tcW w:type="dxa" w:w="2276"/>
          </w:tcPr>
          <w:p>
            <w:pPr>
              <w:pStyle w:val="Compact"/>
              <w:spacing w:before="40" w:after="40"/>
              <w:jc w:val="left"/>
            </w:pPr>
            <w:r>
              <w:rPr>
                <w:rFonts w:ascii="Arial" w:hAnsi="Arial"/>
                <w:sz w:val="20"/>
              </w:rPr>
              <w:t xml:space="preserve">Blank</w:t>
            </w:r>
          </w:p>
        </w:tc>
      </w:tr>
    </w:tbl>
    <w:p>
      <w:pPr>
        <w:pStyle w:val="BodyText"/>
      </w:pPr>
      <w:r>
        <w:t xml:space="preserve">Department, Class, accounts and rules must match existing NetSuite records, spelled as NetSuite shows them.</w:t>
      </w:r>
    </w:p>
    <w:bookmarkEnd w:id="22"/>
    <w:bookmarkStart w:id="23" w:name="values-for-all-items"/>
    <w:p>
      <w:pPr>
        <w:pStyle w:val="Heading1"/>
      </w:pPr>
      <w:r>
        <w:t xml:space="preserve">Values for all items</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Subsidiary</w:t>
            </w:r>
          </w:p>
        </w:tc>
        <w:tc>
          <w:tcPr>
            <w:tcW w:type="dxa" w:w="6739"/>
          </w:tcPr>
          <w:p>
            <w:pPr>
              <w:pStyle w:val="Compact"/>
              <w:spacing w:before="40" w:after="40"/>
              <w:jc w:val="left"/>
            </w:pPr>
            <w:r>
              <w:rPr>
                <w:rFonts w:ascii="Arial" w:hAnsi="Arial"/>
                <w:sz w:val="20"/>
              </w:rPr>
              <w:t xml:space="preserve">MinIO, Inc., the parent of MinIO Pvt. Ltd. and MinIO Singapore Pte. Ltd.</w:t>
            </w:r>
          </w:p>
        </w:tc>
      </w:tr>
      <w:tr>
        <w:tc>
          <w:tcPr>
            <w:tcW w:type="dxa" w:w="2620"/>
            <w:shd w:val="clear" w:color="auto" w:fill="F2F4F7"/>
          </w:tcPr>
          <w:p>
            <w:pPr>
              <w:pStyle w:val="Compact"/>
              <w:spacing w:before="40" w:after="40"/>
              <w:jc w:val="left"/>
            </w:pPr>
            <w:r>
              <w:rPr>
                <w:bCs/>
                <w:rFonts w:ascii="Arial" w:hAnsi="Arial"/>
                <w:b/>
                <w:sz w:val="20"/>
              </w:rPr>
              <w:t xml:space="preserve">Include Children</w:t>
            </w:r>
          </w:p>
        </w:tc>
        <w:tc>
          <w:tcPr>
            <w:tcW w:type="dxa" w:w="6739"/>
          </w:tcPr>
          <w:p>
            <w:pPr>
              <w:pStyle w:val="Compact"/>
              <w:spacing w:before="40" w:after="40"/>
              <w:jc w:val="left"/>
            </w:pPr>
            <w:r>
              <w:rPr>
                <w:rFonts w:ascii="Arial" w:hAnsi="Arial"/>
                <w:sz w:val="20"/>
              </w:rPr>
              <w:t xml:space="preserve">Yes, so all three subsidiaries can sell the items</w:t>
            </w:r>
          </w:p>
        </w:tc>
      </w:tr>
      <w:tr>
        <w:tc>
          <w:tcPr>
            <w:tcW w:type="dxa" w:w="2620"/>
            <w:shd w:val="clear" w:color="auto" w:fill="F2F4F7"/>
          </w:tcPr>
          <w:p>
            <w:pPr>
              <w:pStyle w:val="Compact"/>
              <w:spacing w:before="40" w:after="40"/>
              <w:jc w:val="left"/>
            </w:pPr>
            <w:r>
              <w:rPr>
                <w:bCs/>
                <w:rFonts w:ascii="Arial" w:hAnsi="Arial"/>
                <w:b/>
                <w:sz w:val="20"/>
              </w:rPr>
              <w:t xml:space="preserve">Sales Description</w:t>
            </w:r>
          </w:p>
        </w:tc>
        <w:tc>
          <w:tcPr>
            <w:tcW w:type="dxa" w:w="6739"/>
          </w:tcPr>
          <w:p>
            <w:pPr>
              <w:pStyle w:val="Compact"/>
              <w:spacing w:before="40" w:after="40"/>
              <w:jc w:val="left"/>
            </w:pPr>
            <w:r>
              <w:rPr>
                <w:rFonts w:ascii="Arial" w:hAnsi="Arial"/>
                <w:sz w:val="20"/>
              </w:rPr>
              <w:t xml:space="preserve">Set per item, in the load file. No terms, dates or prices</w:t>
            </w:r>
          </w:p>
        </w:tc>
      </w:tr>
      <w:tr>
        <w:tc>
          <w:tcPr>
            <w:tcW w:type="dxa" w:w="2620"/>
            <w:shd w:val="clear" w:color="auto" w:fill="F2F4F7"/>
          </w:tcPr>
          <w:p>
            <w:pPr>
              <w:pStyle w:val="Compact"/>
              <w:spacing w:before="40" w:after="40"/>
              <w:jc w:val="left"/>
            </w:pPr>
            <w:r>
              <w:rPr>
                <w:bCs/>
                <w:rFonts w:ascii="Arial" w:hAnsi="Arial"/>
                <w:b/>
                <w:sz w:val="20"/>
              </w:rPr>
              <w:t xml:space="preserve">Base Price</w:t>
            </w:r>
          </w:p>
        </w:tc>
        <w:tc>
          <w:tcPr>
            <w:tcW w:type="dxa" w:w="6739"/>
          </w:tcPr>
          <w:p>
            <w:pPr>
              <w:pStyle w:val="Compact"/>
              <w:spacing w:before="40" w:after="40"/>
              <w:jc w:val="left"/>
            </w:pPr>
            <w:r>
              <w:rPr>
                <w:rFonts w:ascii="Arial" w:hAnsi="Arial"/>
                <w:sz w:val="20"/>
              </w:rPr>
              <w:t xml:space="preserve">Blank: not known</w:t>
            </w:r>
          </w:p>
        </w:tc>
      </w:tr>
      <w:tr>
        <w:tc>
          <w:tcPr>
            <w:tcW w:type="dxa" w:w="2620"/>
            <w:shd w:val="clear" w:color="auto" w:fill="F2F4F7"/>
          </w:tcPr>
          <w:p>
            <w:pPr>
              <w:pStyle w:val="Compact"/>
              <w:spacing w:before="40" w:after="40"/>
              <w:jc w:val="left"/>
            </w:pPr>
            <w:r>
              <w:rPr>
                <w:bCs/>
                <w:rFonts w:ascii="Arial" w:hAnsi="Arial"/>
                <w:b/>
                <w:sz w:val="20"/>
              </w:rPr>
              <w:t xml:space="preserve">Create Revenue Plans On</w:t>
            </w:r>
          </w:p>
        </w:tc>
        <w:tc>
          <w:tcPr>
            <w:tcW w:type="dxa" w:w="6739"/>
          </w:tcPr>
          <w:p>
            <w:pPr>
              <w:pStyle w:val="Compact"/>
              <w:spacing w:before="40" w:after="40"/>
              <w:jc w:val="left"/>
            </w:pPr>
            <w:r>
              <w:rPr>
                <w:rFonts w:ascii="Arial" w:hAnsi="Arial"/>
                <w:sz w:val="20"/>
              </w:rPr>
              <w:t xml:space="preserve">[TBC: depends on the license delivery trigger]</w:t>
            </w:r>
          </w:p>
        </w:tc>
      </w:tr>
      <w:tr>
        <w:tc>
          <w:tcPr>
            <w:tcW w:type="dxa" w:w="2620"/>
            <w:shd w:val="clear" w:color="auto" w:fill="F2F4F7"/>
          </w:tcPr>
          <w:p>
            <w:pPr>
              <w:pStyle w:val="Compact"/>
              <w:spacing w:before="40" w:after="40"/>
              <w:jc w:val="left"/>
            </w:pPr>
            <w:r>
              <w:rPr>
                <w:bCs/>
                <w:rFonts w:ascii="Arial" w:hAnsi="Arial"/>
                <w:b/>
                <w:sz w:val="20"/>
              </w:rPr>
              <w:t xml:space="preserve">Direct Revenue Posting</w:t>
            </w:r>
          </w:p>
        </w:tc>
        <w:tc>
          <w:tcPr>
            <w:tcW w:type="dxa" w:w="6739"/>
          </w:tcPr>
          <w:p>
            <w:pPr>
              <w:pStyle w:val="Compact"/>
              <w:spacing w:before="40" w:after="40"/>
              <w:jc w:val="left"/>
            </w:pPr>
            <w:r>
              <w:rPr>
                <w:rFonts w:ascii="Arial" w:hAnsi="Arial"/>
                <w:sz w:val="20"/>
              </w:rPr>
              <w:t xml:space="preserve">[TBC: No proposed for all 11 items]</w:t>
            </w:r>
          </w:p>
        </w:tc>
      </w:tr>
      <w:tr>
        <w:tc>
          <w:tcPr>
            <w:tcW w:type="dxa" w:w="2620"/>
            <w:shd w:val="clear" w:color="auto" w:fill="F2F4F7"/>
          </w:tcPr>
          <w:p>
            <w:pPr>
              <w:pStyle w:val="Compact"/>
              <w:spacing w:before="40" w:after="40"/>
              <w:jc w:val="left"/>
            </w:pPr>
            <w:r>
              <w:rPr>
                <w:bCs/>
                <w:rFonts w:ascii="Arial" w:hAnsi="Arial"/>
                <w:b/>
                <w:sz w:val="20"/>
              </w:rPr>
              <w:t xml:space="preserve">Can be fulfilled/received</w:t>
            </w:r>
          </w:p>
        </w:tc>
        <w:tc>
          <w:tcPr>
            <w:tcW w:type="dxa" w:w="6739"/>
          </w:tcPr>
          <w:p>
            <w:pPr>
              <w:pStyle w:val="Compact"/>
              <w:spacing w:before="40" w:after="40"/>
              <w:jc w:val="left"/>
            </w:pPr>
            <w:r>
              <w:rPr>
                <w:rFonts w:ascii="Arial" w:hAnsi="Arial"/>
                <w:sz w:val="20"/>
              </w:rPr>
              <w:t xml:space="preserve">[TBC: No proposed for support and training; license items depend on the delivery trigger]</w:t>
            </w:r>
          </w:p>
        </w:tc>
      </w:tr>
    </w:tbl>
    <w:bookmarkEnd w:id="23"/>
    <w:bookmarkStart w:id="24" w:name="open-questions"/>
    <w:p>
      <w:pPr>
        <w:pStyle w:val="Heading1"/>
      </w:pPr>
      <w:r>
        <w:t xml:space="preserve">Open questions</w:t>
      </w:r>
    </w:p>
    <w:p>
      <w:pPr>
        <w:numPr>
          <w:ilvl w:val="0"/>
          <w:numId w:val="1001"/>
        </w:numPr>
        <w:pStyle w:val="Compact"/>
      </w:pPr>
      <w:r>
        <w:rPr>
          <w:bCs/>
          <w:b/>
        </w:rPr>
        <w:t xml:space="preserve">Account format.</w:t>
      </w:r>
      <w:r>
        <w:t xml:space="preserve"> </w:t>
      </w:r>
      <w:r>
        <w:t xml:space="preserve">The CSV uses number and name, such as</w:t>
      </w:r>
      <w:r>
        <w:t xml:space="preserve"> </w:t>
      </w:r>
      <w:r>
        <w:rPr>
          <w:rStyle w:val="VerbatimChar"/>
        </w:rPr>
        <w:t xml:space="preserve">41100 License Revenue</w:t>
      </w:r>
      <w:r>
        <w:t xml:space="preserve">. Confirm on a test import that NetSuite matches it; child accounts may need the full path.</w:t>
      </w:r>
    </w:p>
    <w:p>
      <w:pPr>
        <w:numPr>
          <w:ilvl w:val="0"/>
          <w:numId w:val="1001"/>
        </w:numPr>
        <w:pStyle w:val="Compact"/>
      </w:pPr>
      <w:r>
        <w:rPr>
          <w:bCs/>
          <w:b/>
        </w:rPr>
        <w:t xml:space="preserve">OEM license.</w:t>
      </w:r>
      <w:r>
        <w:t xml:space="preserve"> </w:t>
      </w:r>
      <w:r>
        <w:t xml:space="preserve">Does AIStor OEM License use the same accounts and rule as the direct licenses?</w:t>
      </w:r>
    </w:p>
    <w:p>
      <w:pPr>
        <w:numPr>
          <w:ilvl w:val="0"/>
          <w:numId w:val="1001"/>
        </w:numPr>
        <w:pStyle w:val="Compact"/>
      </w:pPr>
      <w:r>
        <w:rPr>
          <w:bCs/>
          <w:b/>
        </w:rPr>
        <w:t xml:space="preserve">Platform training subscription.</w:t>
      </w:r>
      <w:r>
        <w:t xml:space="preserve"> </w:t>
      </w:r>
      <w:r>
        <w:t xml:space="preserve">Is it recognized like the live trainings or like a subscription?</w:t>
      </w:r>
    </w:p>
    <w:p>
      <w:pPr>
        <w:numPr>
          <w:ilvl w:val="0"/>
          <w:numId w:val="1001"/>
        </w:numPr>
        <w:pStyle w:val="Compact"/>
      </w:pPr>
      <w:r>
        <w:rPr>
          <w:bCs/>
          <w:b/>
        </w:rPr>
        <w:t xml:space="preserve">Classes in production.</w:t>
      </w:r>
      <w:r>
        <w:t xml:space="preserve"> </w:t>
      </w:r>
      <w:r>
        <w:t xml:space="preserve">License, Support, Training and Professional Services must exist in production before this load.</w:t>
      </w:r>
    </w:p>
    <w:p>
      <w:pPr>
        <w:numPr>
          <w:ilvl w:val="0"/>
          <w:numId w:val="1001"/>
        </w:numPr>
        <w:pStyle w:val="Compact"/>
      </w:pPr>
      <w:r>
        <w:rPr>
          <w:bCs/>
          <w:b/>
        </w:rPr>
        <w:t xml:space="preserve">Not in this load.</w:t>
      </w:r>
      <w:r>
        <w:t xml:space="preserve"> </w:t>
      </w:r>
      <w:r>
        <w:t xml:space="preserve">The Items tab lists Surcharge Fee for Marketplace and Reseller Margin (presented as a discount) as TBD. No Professional Services SKUs yet; 42100 Professional Services Revenue is ready when there are.</w:t>
      </w:r>
    </w:p>
    <w:p>
      <w:pPr>
        <w:numPr>
          <w:ilvl w:val="0"/>
          <w:numId w:val="1001"/>
        </w:numPr>
        <w:pStyle w:val="Compact"/>
      </w:pPr>
      <w:r>
        <w:rPr>
          <w:bCs/>
          <w:b/>
        </w:rPr>
        <w:t xml:space="preserve">Template header.</w:t>
      </w:r>
      <w:r>
        <w:t xml:space="preserve"> </w:t>
      </w:r>
      <w:r>
        <w:t xml:space="preserve">The template spells</w:t>
      </w:r>
      <w:r>
        <w:t xml:space="preserve"> </w:t>
      </w:r>
      <w:r>
        <w:rPr>
          <w:rStyle w:val="VerbatimChar"/>
        </w:rPr>
        <w:t xml:space="preserve">Revenue Recogition Rule</w:t>
      </w:r>
      <w:r>
        <w:t xml:space="preserve">. Kept as is; it only needs to match when mapping the import.</w:t>
      </w:r>
    </w:p>
    <w:p>
      <w:pPr>
        <w:numPr>
          <w:ilvl w:val="0"/>
          <w:numId w:val="1001"/>
        </w:numPr>
        <w:pStyle w:val="Compact"/>
      </w:pPr>
      <w:r>
        <w:rPr>
          <w:bCs/>
          <w:b/>
        </w:rPr>
        <w:t xml:space="preserve">Long-term deferred revenue.</w:t>
      </w:r>
      <w:r>
        <w:t xml:space="preserve"> </w:t>
      </w:r>
      <w:r>
        <w:t xml:space="preserve">Items post to 23100 Deferred Revenue - ST. The part earned more than 12 months out is reclassed to 23200 Deferred Revenue - LT by a period-end journal entry. Confirm the Unbilled, Billed and Paid accounts under 23200 are still needed.</w:t>
      </w:r>
    </w:p>
    <w:p>
      <w:pPr>
        <w:numPr>
          <w:ilvl w:val="0"/>
          <w:numId w:val="1001"/>
        </w:numPr>
        <w:pStyle w:val="Compact"/>
      </w:pPr>
      <w:r>
        <w:rPr>
          <w:bCs/>
          <w:b/>
        </w:rPr>
        <w:t xml:space="preserve">Show Display Name with Item Codes.</w:t>
      </w:r>
      <w:r>
        <w:t xml:space="preserve"> </w:t>
      </w:r>
      <w:r>
        <w:t xml:space="preserve">Setup &gt; Company &gt; General Preferences. Shows code and name together in item fields. If turned on, later CSV imports that reference items need the display name too, or fail with Invalid Parent Reference Key. Decide before the sales order and invoice loads.</w:t>
      </w:r>
    </w:p>
    <w:p>
      <w:pPr>
        <w:numPr>
          <w:ilvl w:val="0"/>
          <w:numId w:val="1001"/>
        </w:numPr>
        <w:pStyle w:val="Compact"/>
      </w:pPr>
      <w:r>
        <w:rPr>
          <w:bCs/>
          <w:b/>
        </w:rPr>
        <w:t xml:space="preserve">License delivery trigger.</w:t>
      </w:r>
      <w:r>
        <w:t xml:space="preserve"> </w:t>
      </w:r>
      <w:r>
        <w:t xml:space="preserve">License keys are issued manually; the issue date (available in BigQuery operating data) should drive invoicing and the revenue start. Options: (a) Can be fulfilled/received = Yes on license items and a fulfillment posted when the key is issued, with revenue plans created on fulfillment; (b) a custom revenue recognition event, created by script or integration; (c) no fulfillment, with the revenue start date set on the order line from the key issue date. Decide before the load: whether Can be fulfilled/received can change after items are used on transactions is unclear.</w:t>
      </w:r>
    </w:p>
    <w:p>
      <w:pPr>
        <w:numPr>
          <w:ilvl w:val="0"/>
          <w:numId w:val="1001"/>
        </w:numPr>
        <w:pStyle w:val="Compact"/>
      </w:pPr>
      <w:r>
        <w:rPr>
          <w:bCs/>
          <w:b/>
        </w:rPr>
        <w:t xml:space="preserve">Portal sales.</w:t>
      </w:r>
      <w:r>
        <w:t xml:space="preserve"> </w:t>
      </w:r>
      <w:r>
        <w:t xml:space="preserve">Smaller businesses and individuals buy AIStor through a portal, about monthly, and revenue is recognized immediately. These items defer revenue, so portal sales need either a separate portal item with Direct Revenue Posting = Yes and no deferred revenue account, or no item at all if portal sales reach NetSuite as a summary journal entry from the payment processor.</w:t>
      </w:r>
    </w:p>
    <w:p>
      <w:pPr>
        <w:numPr>
          <w:ilvl w:val="0"/>
          <w:numId w:val="1001"/>
        </w:numPr>
        <w:pStyle w:val="Compact"/>
      </w:pPr>
      <w:r>
        <w:rPr>
          <w:bCs/>
          <w:b/>
        </w:rPr>
        <w:t xml:space="preserve">Revenue recognition rules.</w:t>
      </w:r>
      <w:r>
        <w:t xml:space="preserve"> </w:t>
      </w:r>
      <w:r>
        <w:t xml:space="preserve">None are set up yet, so both rule columns stay blank. NetSuite may require a rule on items that have a deferred revenue account; the sandbox import will show whether the load fails without one. Either way the items need rules before they are used on transactions, added later with an update import keyed on External ID.</w:t>
      </w:r>
    </w:p>
    <w:bookmarkEnd w:id="24"/>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pPr>
      <w:spacing w:after="180" w:before="180"/>
    </w:pPr>
    <w:qFormat/>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rPr>
      <w:rFonts w:ascii="Arial" w:hAnsi="Arial"/>
      <w:color w:val="000000"/>
      <w:sz w:val="22"/>
    </w:r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ascii="Arial" w:hAnsi="Arial"/>
      <w:b/>
      <w:bCs/>
      <w:i w:val="0"/>
      <w:color w:val="000000"/>
      <w:sz w:val="56"/>
      <w:szCs w:val="36"/>
    </w:rPr>
  </w:style>
  <w:style w:styleId="Subtitle" w:type="paragraph">
    <w:name w:val="Subtitle"/>
    <w:basedOn w:val="Title"/>
    <w:next w:val="BodyText"/>
    <w:qFormat/>
    <w:pPr>
      <w:keepNext/>
      <w:keepLines/>
      <w:spacing w:after="240" w:before="240"/>
      <w:jc w:val="left"/>
    </w:pPr>
    <w:rPr>
      <w:rFonts w:ascii="Georgia" w:hAnsi="Georgia"/>
      <w:i/>
      <w:color w:val="666666"/>
      <w:sz w:val="3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i w:val="0"/>
      <w:color w:val="2E74B5"/>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i w:val="0"/>
      <w:color w:val="2E74B5"/>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i w:val="0"/>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hAnsi="Arial"/>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NetSuite non-inventory items load</dc:title>
  <dc:creator/>
  <cp:keywords/>
  <dcterms:created xsi:type="dcterms:W3CDTF">2026-10-26T04:14:53Z</dcterms:created>
  <dcterms:modified xsi:type="dcterms:W3CDTF">2026-10-26T04:14:53Z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Non-inventory Item for Sale import: MINIO_-_Noninventory_for_Sale.csv</vt:lpwstr>
  </property>
</Properties>
</file>