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NetSuite non-inventory items load</w:t>
      </w:r>
    </w:p>
    <w:p>
      <w:pPr>
        <w:pStyle w:val="Subtitle"/>
      </w:pPr>
      <w:r>
        <w:t xml:space="preserve">Non-inventory Item for Sale import: MINIO_-_Noninventory_for_Sale.csv</w:t>
      </w:r>
    </w:p>
    <w:bookmarkStart w:id="20" w:name="overview"/>
    <w:p>
      <w:pPr>
        <w:pStyle w:val="Heading1"/>
      </w:pPr>
      <w:r>
        <w:t xml:space="preserve">Overview</w:t>
      </w:r>
    </w:p>
    <w:tbl>
      <w:tblPr>
        <w:tblStyle w:val="Table"/>
        <w:tblW w:type="dxa" w:w="9360"/>
        <w:jc w:val="center"/>
        <w:tblLook w:firstRow="0" w:lastRow="0" w:firstColumn="0" w:lastColumn="0" w:noHBand="0" w:noVBand="0" w:val="0000"/>
        <w:tblBorders>
          <w:top w:val="single" w:sz="4" w:space="0" w:color="BFC7D1"/>
          <w:left w:val="single" w:sz="4" w:space="0" w:color="BFC7D1"/>
          <w:bottom w:val="single" w:sz="4" w:space="0" w:color="BFC7D1"/>
          <w:right w:val="single" w:sz="4" w:space="0" w:color="BFC7D1"/>
          <w:insideH w:val="single" w:sz="4" w:space="0" w:color="BFC7D1"/>
          <w:insideV w:val="single" w:sz="4" w:space="0" w:color="BFC7D1"/>
        </w:tblBorders>
        <w:tblLayout w:type="fixed"/>
      </w:tblPr>
      <w:tblGrid>
        <w:gridCol w:w="2620"/>
        <w:gridCol w:w="6739"/>
      </w:tblGrid>
      <w:tr>
        <w:tc>
          <w:tcPr>
            <w:tcW w:type="dxa" w:w="2620"/>
            <w:shd w:val="clear" w:color="auto" w:fill="F2F4F7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Record type</w:t>
            </w:r>
          </w:p>
        </w:tc>
        <w:tc>
          <w:tcPr>
            <w:tcW w:type="dxa" w:w="6739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Items &gt; Non-inventory Item for Sale</w:t>
            </w:r>
          </w:p>
        </w:tc>
      </w:tr>
      <w:tr>
        <w:tc>
          <w:tcPr>
            <w:tcW w:type="dxa" w:w="2620"/>
            <w:shd w:val="clear" w:color="auto" w:fill="F2F4F7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Load file</w:t>
            </w:r>
          </w:p>
        </w:tc>
        <w:tc>
          <w:tcPr>
            <w:tcW w:type="dxa" w:w="6739"/>
          </w:tcPr>
          <w:p>
            <w:pPr>
              <w:pStyle w:val="Compact"/>
              <w:spacing w:before="40" w:after="40"/>
              <w:jc w:val="left"/>
            </w:pPr>
            <w:r>
              <w:rPr>
                <w:rStyle w:val="VerbatimChar"/>
                <w:rFonts w:ascii="Arial" w:hAnsi="Arial"/>
                <w:sz w:val="20"/>
              </w:rPr>
              <w:t xml:space="preserve">MINIO_-_Noninventory_for_Sale.csv</w:t>
            </w:r>
          </w:p>
        </w:tc>
      </w:tr>
      <w:tr>
        <w:tc>
          <w:tcPr>
            <w:tcW w:type="dxa" w:w="2620"/>
            <w:shd w:val="clear" w:color="auto" w:fill="F2F4F7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Items</w:t>
            </w:r>
          </w:p>
        </w:tc>
        <w:tc>
          <w:tcPr>
            <w:tcW w:type="dxa" w:w="6739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11</w:t>
            </w:r>
          </w:p>
        </w:tc>
      </w:tr>
      <w:tr>
        <w:tc>
          <w:tcPr>
            <w:tcW w:type="dxa" w:w="2620"/>
            <w:shd w:val="clear" w:color="auto" w:fill="F2F4F7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Filled</w:t>
            </w:r>
          </w:p>
        </w:tc>
        <w:tc>
          <w:tcPr>
            <w:tcW w:type="dxa" w:w="6739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External ID, Item Name, Display Name/Code, Class, Subsidiary, Include Children</w:t>
            </w:r>
          </w:p>
        </w:tc>
      </w:tr>
      <w:tr>
        <w:tc>
          <w:tcPr>
            <w:tcW w:type="dxa" w:w="2620"/>
            <w:shd w:val="clear" w:color="auto" w:fill="F2F4F7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Open</w:t>
            </w:r>
          </w:p>
        </w:tc>
        <w:tc>
          <w:tcPr>
            <w:tcW w:type="dxa" w:w="6739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10 columns. Most are set per item group, under Values by group</w:t>
            </w:r>
          </w:p>
        </w:tc>
      </w:tr>
      <w:tr>
        <w:tc>
          <w:tcPr>
            <w:tcW w:type="dxa" w:w="2620"/>
            <w:shd w:val="clear" w:color="auto" w:fill="F2F4F7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Status</w:t>
            </w:r>
          </w:p>
        </w:tc>
        <w:tc>
          <w:tcPr>
            <w:tcW w:type="dxa" w:w="6739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Waiting on accounting for accounts and revenue recognition</w:t>
            </w:r>
          </w:p>
        </w:tc>
      </w:tr>
    </w:tbl>
    <w:bookmarkEnd w:id="20"/>
    <w:bookmarkStart w:id="21" w:name="load-file"/>
    <w:p>
      <w:pPr>
        <w:pStyle w:val="Heading1"/>
      </w:pPr>
      <w:r>
        <w:t xml:space="preserve">Load file</w:t>
      </w:r>
    </w:p>
    <w:p>
      <w:pPr>
        <w:pStyle w:val="FirstParagraph"/>
      </w:pPr>
      <w:r>
        <w:rPr>
          <w:rStyle w:val="VerbatimChar"/>
        </w:rPr>
        <w:t xml:space="preserve">MINIO_-_Noninventory_for_Sale.csv</w:t>
      </w:r>
      <w:r>
        <w:t xml:space="preserve"> </w:t>
      </w:r>
      <w:r>
        <w:t xml:space="preserve">as it stands: 11 rows, 16 columns. Blank cells are still open. Scroll sideways to see every column.</w:t>
      </w:r>
    </w:p>
    <w:p>
      <w:pPr>
        <w:pStyle w:val="BodyText"/>
      </w:pPr>
      <w:r>
        <w:t xml:space="preserve">External ID and Item Name both use the item ID. Item Name is the code; Display Name/Code is the name sales and customers read.</w:t>
      </w:r>
    </w:p>
    <w:tbl>
      <w:tblPr>
        <w:tblStyle w:val="Table"/>
        <w:tblW w:type="dxa" w:w="9360"/>
        <w:jc w:val="center"/>
        <w:tblLook w:firstRow="1" w:lastRow="0" w:firstColumn="0" w:lastColumn="0" w:noHBand="0" w:noVBand="0" w:val="0020"/>
        <w:tblBorders>
          <w:top w:val="single" w:sz="4" w:space="0" w:color="BFC7D1"/>
          <w:left w:val="single" w:sz="4" w:space="0" w:color="BFC7D1"/>
          <w:bottom w:val="single" w:sz="4" w:space="0" w:color="BFC7D1"/>
          <w:right w:val="single" w:sz="4" w:space="0" w:color="BFC7D1"/>
          <w:insideH w:val="single" w:sz="4" w:space="0" w:color="BFC7D1"/>
          <w:insideV w:val="single" w:sz="4" w:space="0" w:color="BFC7D1"/>
        </w:tblBorders>
        <w:tblLayout w:type="fixed"/>
      </w:tblPr>
      <w:tblGrid>
        <w:gridCol w:w="-952"/>
        <w:gridCol w:w="-952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-902"/>
      </w:tblGrid>
      <w:tr>
        <w:trPr>
          <w:tblHeader w:val="true"/>
        </w:trPr>
        <w:tc>
          <w:tcPr>
            <w:tcW w:type="dxa" w:w="-952"/>
            <w:shd w:val="clear" w:color="auto" w:fill="1F3B5C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color w:val="FFFFFF"/>
                <w:sz w:val="20"/>
              </w:rPr>
              <w:t xml:space="preserve">External ID</w:t>
            </w:r>
          </w:p>
        </w:tc>
        <w:tc>
          <w:tcPr>
            <w:tcW w:type="dxa" w:w="-952"/>
            <w:shd w:val="clear" w:color="auto" w:fill="1F3B5C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color w:val="FFFFFF"/>
                <w:sz w:val="20"/>
              </w:rPr>
              <w:t xml:space="preserve">Item Name</w:t>
            </w:r>
          </w:p>
        </w:tc>
        <w:tc>
          <w:tcPr>
            <w:tcW w:type="dxa" w:w="936"/>
            <w:shd w:val="clear" w:color="auto" w:fill="1F3B5C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color w:val="FFFFFF"/>
                <w:sz w:val="20"/>
              </w:rPr>
              <w:t xml:space="preserve">Display Name/Code</w:t>
            </w:r>
          </w:p>
        </w:tc>
        <w:tc>
          <w:tcPr>
            <w:tcW w:type="dxa" w:w="936"/>
            <w:shd w:val="clear" w:color="auto" w:fill="1F3B5C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color w:val="FFFFFF"/>
                <w:sz w:val="20"/>
              </w:rPr>
              <w:t xml:space="preserve">Department</w:t>
            </w:r>
          </w:p>
        </w:tc>
        <w:tc>
          <w:tcPr>
            <w:tcW w:type="dxa" w:w="936"/>
            <w:shd w:val="clear" w:color="auto" w:fill="1F3B5C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color w:val="FFFFFF"/>
                <w:sz w:val="20"/>
              </w:rPr>
              <w:t xml:space="preserve">Class</w:t>
            </w:r>
          </w:p>
        </w:tc>
        <w:tc>
          <w:tcPr>
            <w:tcW w:type="dxa" w:w="936"/>
            <w:shd w:val="clear" w:color="auto" w:fill="1F3B5C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color w:val="FFFFFF"/>
                <w:sz w:val="20"/>
              </w:rPr>
              <w:t xml:space="preserve">Subsidiary</w:t>
            </w:r>
          </w:p>
        </w:tc>
        <w:tc>
          <w:tcPr>
            <w:tcW w:type="dxa" w:w="936"/>
            <w:shd w:val="clear" w:color="auto" w:fill="1F3B5C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color w:val="FFFFFF"/>
                <w:sz w:val="20"/>
              </w:rPr>
              <w:t xml:space="preserve">Include Children</w:t>
            </w:r>
          </w:p>
        </w:tc>
        <w:tc>
          <w:tcPr>
            <w:tcW w:type="dxa" w:w="936"/>
            <w:shd w:val="clear" w:color="auto" w:fill="1F3B5C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color w:val="FFFFFF"/>
                <w:sz w:val="20"/>
              </w:rPr>
              <w:t xml:space="preserve">Sales Description</w:t>
            </w:r>
          </w:p>
        </w:tc>
        <w:tc>
          <w:tcPr>
            <w:tcW w:type="dxa" w:w="936"/>
            <w:shd w:val="clear" w:color="auto" w:fill="1F3B5C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color w:val="FFFFFF"/>
                <w:sz w:val="20"/>
              </w:rPr>
              <w:t xml:space="preserve">Base Price</w:t>
            </w:r>
          </w:p>
        </w:tc>
        <w:tc>
          <w:tcPr>
            <w:tcW w:type="dxa" w:w="936"/>
            <w:shd w:val="clear" w:color="auto" w:fill="1F3B5C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color w:val="FFFFFF"/>
                <w:sz w:val="20"/>
              </w:rPr>
              <w:t xml:space="preserve">Income account</w:t>
            </w:r>
          </w:p>
        </w:tc>
        <w:tc>
          <w:tcPr>
            <w:tcW w:type="dxa" w:w="936"/>
            <w:shd w:val="clear" w:color="auto" w:fill="1F3B5C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color w:val="FFFFFF"/>
                <w:sz w:val="20"/>
              </w:rPr>
              <w:t xml:space="preserve">Deferred Revenue account</w:t>
            </w:r>
          </w:p>
        </w:tc>
        <w:tc>
          <w:tcPr>
            <w:tcW w:type="dxa" w:w="936"/>
            <w:shd w:val="clear" w:color="auto" w:fill="1F3B5C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color w:val="FFFFFF"/>
                <w:sz w:val="20"/>
              </w:rPr>
              <w:t xml:space="preserve">Revenue Recogition Rule</w:t>
            </w:r>
          </w:p>
        </w:tc>
        <w:tc>
          <w:tcPr>
            <w:tcW w:type="dxa" w:w="936"/>
            <w:shd w:val="clear" w:color="auto" w:fill="1F3B5C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color w:val="FFFFFF"/>
                <w:sz w:val="20"/>
              </w:rPr>
              <w:t xml:space="preserve">Rev Rec Forecast Rule</w:t>
            </w:r>
          </w:p>
        </w:tc>
        <w:tc>
          <w:tcPr>
            <w:tcW w:type="dxa" w:w="936"/>
            <w:shd w:val="clear" w:color="auto" w:fill="1F3B5C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color w:val="FFFFFF"/>
                <w:sz w:val="20"/>
              </w:rPr>
              <w:t xml:space="preserve">Create Revenue Plans On</w:t>
            </w:r>
          </w:p>
        </w:tc>
        <w:tc>
          <w:tcPr>
            <w:tcW w:type="dxa" w:w="936"/>
            <w:shd w:val="clear" w:color="auto" w:fill="1F3B5C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color w:val="FFFFFF"/>
                <w:sz w:val="20"/>
              </w:rPr>
              <w:t xml:space="preserve">Direct Revenue Posting</w:t>
            </w:r>
          </w:p>
        </w:tc>
        <w:tc>
          <w:tcPr>
            <w:tcW w:type="dxa" w:w="-902"/>
            <w:shd w:val="clear" w:color="auto" w:fill="1F3B5C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color w:val="FFFFFF"/>
                <w:sz w:val="20"/>
              </w:rPr>
              <w:t xml:space="preserve">Can be fulfilled/received</w:t>
            </w:r>
          </w:p>
        </w:tc>
      </w:tr>
      <w:tr>
        <w:tc>
          <w:tcPr>
            <w:tcW w:type="dxa" w:w="-952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NS-SUPT-SLA-1H-UPB</w:t>
            </w:r>
          </w:p>
        </w:tc>
        <w:tc>
          <w:tcPr>
            <w:tcW w:type="dxa" w:w="-952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NS-SUPT-SLA-1H-UPB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1-Hour SLA / Unlimited Panic Buttons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Support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MinIO, Inc.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Yes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-902"/>
          </w:tcPr>
          <w:p>
            <w:pPr>
              <w:pStyle w:val="Compact"/>
              <w:spacing w:before="40" w:after="40"/>
            </w:pPr>
          </w:p>
        </w:tc>
      </w:tr>
      <w:tr>
        <w:tc>
          <w:tcPr>
            <w:tcW w:type="dxa" w:w="-952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NS-SUPT-SLA-4H-UPB</w:t>
            </w:r>
          </w:p>
        </w:tc>
        <w:tc>
          <w:tcPr>
            <w:tcW w:type="dxa" w:w="-952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NS-SUPT-SLA-4H-UPB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4-Hour SLA / Unlimited Panic Buttons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Support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MinIO, Inc.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Yes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-902"/>
          </w:tcPr>
          <w:p>
            <w:pPr>
              <w:pStyle w:val="Compact"/>
              <w:spacing w:before="40" w:after="40"/>
            </w:pPr>
          </w:p>
        </w:tc>
      </w:tr>
      <w:tr>
        <w:tc>
          <w:tcPr>
            <w:tcW w:type="dxa" w:w="-952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NS-SUPT-SLA-24H-1PB</w:t>
            </w:r>
          </w:p>
        </w:tc>
        <w:tc>
          <w:tcPr>
            <w:tcW w:type="dxa" w:w="-952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NS-SUPT-SLA-24H-1PB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24-Hour SLA / 1 Panic Button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Support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MinIO, Inc.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Yes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-902"/>
          </w:tcPr>
          <w:p>
            <w:pPr>
              <w:pStyle w:val="Compact"/>
              <w:spacing w:before="40" w:after="40"/>
            </w:pPr>
          </w:p>
        </w:tc>
      </w:tr>
      <w:tr>
        <w:tc>
          <w:tcPr>
            <w:tcW w:type="dxa" w:w="-952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NS-SUPT-SLA-48H-1PB</w:t>
            </w:r>
          </w:p>
        </w:tc>
        <w:tc>
          <w:tcPr>
            <w:tcW w:type="dxa" w:w="-952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NS-SUPT-SLA-48H-1PB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48-Hour SLA / 1 Panic Button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Support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MinIO, Inc.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Yes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-902"/>
          </w:tcPr>
          <w:p>
            <w:pPr>
              <w:pStyle w:val="Compact"/>
              <w:spacing w:before="40" w:after="40"/>
            </w:pPr>
          </w:p>
        </w:tc>
      </w:tr>
      <w:tr>
        <w:tc>
          <w:tcPr>
            <w:tcW w:type="dxa" w:w="-952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NS-SUPT-SLA-5D-0PB</w:t>
            </w:r>
          </w:p>
        </w:tc>
        <w:tc>
          <w:tcPr>
            <w:tcW w:type="dxa" w:w="-952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NS-SUPT-SLA-5D-0PB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5-day SLA / No Panic Buttons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Support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MinIO, Inc.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Yes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-902"/>
          </w:tcPr>
          <w:p>
            <w:pPr>
              <w:pStyle w:val="Compact"/>
              <w:spacing w:before="40" w:after="40"/>
            </w:pPr>
          </w:p>
        </w:tc>
      </w:tr>
      <w:tr>
        <w:tc>
          <w:tcPr>
            <w:tcW w:type="dxa" w:w="-952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NS-TRAIN-LV-3D</w:t>
            </w:r>
          </w:p>
        </w:tc>
        <w:tc>
          <w:tcPr>
            <w:tcW w:type="dxa" w:w="-952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NS-TRAIN-LV-3D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3-day Live Virtual Training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Training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MinIO, Inc.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Yes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-902"/>
          </w:tcPr>
          <w:p>
            <w:pPr>
              <w:pStyle w:val="Compact"/>
              <w:spacing w:before="40" w:after="40"/>
            </w:pPr>
          </w:p>
        </w:tc>
      </w:tr>
      <w:tr>
        <w:tc>
          <w:tcPr>
            <w:tcW w:type="dxa" w:w="-952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NS-TRAIN-LV-4D</w:t>
            </w:r>
          </w:p>
        </w:tc>
        <w:tc>
          <w:tcPr>
            <w:tcW w:type="dxa" w:w="-952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NS-TRAIN-LV-4D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4-day Live Virtual Training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Training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MinIO, Inc.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Yes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-902"/>
          </w:tcPr>
          <w:p>
            <w:pPr>
              <w:pStyle w:val="Compact"/>
              <w:spacing w:before="40" w:after="40"/>
            </w:pPr>
          </w:p>
        </w:tc>
      </w:tr>
      <w:tr>
        <w:tc>
          <w:tcPr>
            <w:tcW w:type="dxa" w:w="-952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NS-TRAIN-PLATFORM</w:t>
            </w:r>
          </w:p>
        </w:tc>
        <w:tc>
          <w:tcPr>
            <w:tcW w:type="dxa" w:w="-952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NS-TRAIN-PLATFORM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Single Training Subscription to Platform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Training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MinIO, Inc.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Yes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-902"/>
          </w:tcPr>
          <w:p>
            <w:pPr>
              <w:pStyle w:val="Compact"/>
              <w:spacing w:before="40" w:after="40"/>
            </w:pPr>
          </w:p>
        </w:tc>
      </w:tr>
      <w:tr>
        <w:tc>
          <w:tcPr>
            <w:tcW w:type="dxa" w:w="-952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NS-LIC-AISTOR</w:t>
            </w:r>
          </w:p>
        </w:tc>
        <w:tc>
          <w:tcPr>
            <w:tcW w:type="dxa" w:w="-952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NS-LIC-AISTOR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AIStor License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License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MinIO, Inc.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Yes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-902"/>
          </w:tcPr>
          <w:p>
            <w:pPr>
              <w:pStyle w:val="Compact"/>
              <w:spacing w:before="40" w:after="40"/>
            </w:pPr>
          </w:p>
        </w:tc>
      </w:tr>
      <w:tr>
        <w:tc>
          <w:tcPr>
            <w:tcW w:type="dxa" w:w="-952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NS-OEM-LIC-AISTOR</w:t>
            </w:r>
          </w:p>
        </w:tc>
        <w:tc>
          <w:tcPr>
            <w:tcW w:type="dxa" w:w="-952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NS-OEM-LIC-AISTOR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AIStor OEM License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License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MinIO, Inc.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Yes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-902"/>
          </w:tcPr>
          <w:p>
            <w:pPr>
              <w:pStyle w:val="Compact"/>
              <w:spacing w:before="40" w:after="40"/>
            </w:pPr>
          </w:p>
        </w:tc>
      </w:tr>
      <w:tr>
        <w:tc>
          <w:tcPr>
            <w:tcW w:type="dxa" w:w="-952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NS-LIC-MEMKV</w:t>
            </w:r>
          </w:p>
        </w:tc>
        <w:tc>
          <w:tcPr>
            <w:tcW w:type="dxa" w:w="-952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NS-LIC-MEMKV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MemKV License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License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MinIO, Inc.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Yes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-902"/>
          </w:tcPr>
          <w:p>
            <w:pPr>
              <w:pStyle w:val="Compact"/>
              <w:spacing w:before="40" w:after="40"/>
            </w:pPr>
          </w:p>
        </w:tc>
      </w:tr>
    </w:tbl>
    <w:bookmarkEnd w:id="21"/>
    <w:bookmarkStart w:id="22" w:name="values-by-group"/>
    <w:p>
      <w:pPr>
        <w:pStyle w:val="Heading1"/>
      </w:pPr>
      <w:r>
        <w:t xml:space="preserve">Values by group</w:t>
      </w:r>
    </w:p>
    <w:p>
      <w:pPr>
        <w:pStyle w:val="FirstParagraph"/>
      </w:pPr>
      <w:r>
        <w:t xml:space="preserve">Every item in a group gets the same values.</w:t>
      </w:r>
    </w:p>
    <w:tbl>
      <w:tblPr>
        <w:tblStyle w:val="Table"/>
        <w:tblW w:type="dxa" w:w="9360"/>
        <w:jc w:val="center"/>
        <w:tblLook w:firstRow="1" w:lastRow="0" w:firstColumn="0" w:lastColumn="0" w:noHBand="0" w:noVBand="0" w:val="0020"/>
        <w:tblBorders>
          <w:top w:val="single" w:sz="4" w:space="0" w:color="BFC7D1"/>
          <w:left w:val="single" w:sz="4" w:space="0" w:color="BFC7D1"/>
          <w:bottom w:val="single" w:sz="4" w:space="0" w:color="BFC7D1"/>
          <w:right w:val="single" w:sz="4" w:space="0" w:color="BFC7D1"/>
          <w:insideH w:val="single" w:sz="4" w:space="0" w:color="BFC7D1"/>
          <w:insideV w:val="single" w:sz="4" w:space="0" w:color="BFC7D1"/>
        </w:tblBorders>
        <w:tblLayout w:type="fixed"/>
      </w:tblPr>
      <w:tblGrid>
        <w:gridCol w:w="2925"/>
        <w:gridCol w:w="2047"/>
        <w:gridCol w:w="2340"/>
        <w:gridCol w:w="2047"/>
      </w:tblGrid>
      <w:tr>
        <w:trPr>
          <w:tblHeader w:val="true"/>
        </w:trPr>
        <w:tc>
          <w:tcPr>
            <w:tcW w:type="dxa" w:w="2925"/>
            <w:shd w:val="clear" w:color="auto" w:fill="1F3B5C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color w:val="FFFFFF"/>
                <w:sz w:val="20"/>
              </w:rPr>
              <w:t xml:space="preserve">Column</w:t>
            </w:r>
          </w:p>
        </w:tc>
        <w:tc>
          <w:tcPr>
            <w:tcW w:type="dxa" w:w="2047"/>
            <w:shd w:val="clear" w:color="auto" w:fill="1F3B5C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color w:val="FFFFFF"/>
                <w:sz w:val="20"/>
              </w:rPr>
              <w:t xml:space="preserve">Support</w:t>
            </w:r>
          </w:p>
        </w:tc>
        <w:tc>
          <w:tcPr>
            <w:tcW w:type="dxa" w:w="2340"/>
            <w:shd w:val="clear" w:color="auto" w:fill="1F3B5C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color w:val="FFFFFF"/>
                <w:sz w:val="20"/>
              </w:rPr>
              <w:t xml:space="preserve">Training</w:t>
            </w:r>
          </w:p>
        </w:tc>
        <w:tc>
          <w:tcPr>
            <w:tcW w:type="dxa" w:w="2047"/>
            <w:shd w:val="clear" w:color="auto" w:fill="1F3B5C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color w:val="FFFFFF"/>
                <w:sz w:val="20"/>
              </w:rPr>
              <w:t xml:space="preserve">License</w:t>
            </w:r>
          </w:p>
        </w:tc>
      </w:tr>
      <w:tr>
        <w:tc>
          <w:tcPr>
            <w:tcW w:type="dxa" w:w="2925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Department</w:t>
            </w:r>
          </w:p>
        </w:tc>
        <w:tc>
          <w:tcPr>
            <w:tcW w:type="dxa" w:w="2047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[TBC]</w:t>
            </w:r>
          </w:p>
        </w:tc>
        <w:tc>
          <w:tcPr>
            <w:tcW w:type="dxa" w:w="2340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[TBC]</w:t>
            </w:r>
          </w:p>
        </w:tc>
        <w:tc>
          <w:tcPr>
            <w:tcW w:type="dxa" w:w="2047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[TBC]</w:t>
            </w:r>
          </w:p>
        </w:tc>
      </w:tr>
      <w:tr>
        <w:tc>
          <w:tcPr>
            <w:tcW w:type="dxa" w:w="2925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Class</w:t>
            </w:r>
          </w:p>
        </w:tc>
        <w:tc>
          <w:tcPr>
            <w:tcW w:type="dxa" w:w="2047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Support</w:t>
            </w:r>
          </w:p>
        </w:tc>
        <w:tc>
          <w:tcPr>
            <w:tcW w:type="dxa" w:w="2340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Training</w:t>
            </w:r>
          </w:p>
        </w:tc>
        <w:tc>
          <w:tcPr>
            <w:tcW w:type="dxa" w:w="2047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License</w:t>
            </w:r>
          </w:p>
        </w:tc>
      </w:tr>
      <w:tr>
        <w:tc>
          <w:tcPr>
            <w:tcW w:type="dxa" w:w="2925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Income account</w:t>
            </w:r>
          </w:p>
        </w:tc>
        <w:tc>
          <w:tcPr>
            <w:tcW w:type="dxa" w:w="2047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[TBC]</w:t>
            </w:r>
          </w:p>
        </w:tc>
        <w:tc>
          <w:tcPr>
            <w:tcW w:type="dxa" w:w="2340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[TBC]</w:t>
            </w:r>
          </w:p>
        </w:tc>
        <w:tc>
          <w:tcPr>
            <w:tcW w:type="dxa" w:w="2047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[TBC]</w:t>
            </w:r>
          </w:p>
        </w:tc>
      </w:tr>
      <w:tr>
        <w:tc>
          <w:tcPr>
            <w:tcW w:type="dxa" w:w="2925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Deferred Revenue account</w:t>
            </w:r>
          </w:p>
        </w:tc>
        <w:tc>
          <w:tcPr>
            <w:tcW w:type="dxa" w:w="2047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[TBC]</w:t>
            </w:r>
          </w:p>
        </w:tc>
        <w:tc>
          <w:tcPr>
            <w:tcW w:type="dxa" w:w="2340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[TBC]</w:t>
            </w:r>
          </w:p>
        </w:tc>
        <w:tc>
          <w:tcPr>
            <w:tcW w:type="dxa" w:w="2047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[TBC]</w:t>
            </w:r>
          </w:p>
        </w:tc>
      </w:tr>
      <w:tr>
        <w:tc>
          <w:tcPr>
            <w:tcW w:type="dxa" w:w="2925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Revenue Recogition Rule</w:t>
            </w:r>
          </w:p>
        </w:tc>
        <w:tc>
          <w:tcPr>
            <w:tcW w:type="dxa" w:w="2047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[TBC]</w:t>
            </w:r>
          </w:p>
        </w:tc>
        <w:tc>
          <w:tcPr>
            <w:tcW w:type="dxa" w:w="2340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[TBC]</w:t>
            </w:r>
          </w:p>
        </w:tc>
        <w:tc>
          <w:tcPr>
            <w:tcW w:type="dxa" w:w="2047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[TBC]</w:t>
            </w:r>
          </w:p>
        </w:tc>
      </w:tr>
      <w:tr>
        <w:tc>
          <w:tcPr>
            <w:tcW w:type="dxa" w:w="2925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Rev Rec Forecast Rule</w:t>
            </w:r>
          </w:p>
        </w:tc>
        <w:tc>
          <w:tcPr>
            <w:tcW w:type="dxa" w:w="2047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[TBC]</w:t>
            </w:r>
          </w:p>
        </w:tc>
        <w:tc>
          <w:tcPr>
            <w:tcW w:type="dxa" w:w="2340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[TBC]</w:t>
            </w:r>
          </w:p>
        </w:tc>
        <w:tc>
          <w:tcPr>
            <w:tcW w:type="dxa" w:w="2047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[TBC]</w:t>
            </w:r>
          </w:p>
        </w:tc>
      </w:tr>
    </w:tbl>
    <w:p>
      <w:pPr>
        <w:pStyle w:val="BodyText"/>
      </w:pPr>
      <w:r>
        <w:t xml:space="preserve">Department, Class, accounts and rules must match existing NetSuite records, spelled as NetSuite shows them.</w:t>
      </w:r>
    </w:p>
    <w:bookmarkEnd w:id="22"/>
    <w:bookmarkStart w:id="23" w:name="values-for-all-items"/>
    <w:p>
      <w:pPr>
        <w:pStyle w:val="Heading1"/>
      </w:pPr>
      <w:r>
        <w:t xml:space="preserve">Values for all items</w:t>
      </w:r>
    </w:p>
    <w:tbl>
      <w:tblPr>
        <w:tblStyle w:val="Table"/>
        <w:tblW w:type="dxa" w:w="9360"/>
        <w:jc w:val="center"/>
        <w:tblLook w:firstRow="0" w:lastRow="0" w:firstColumn="0" w:lastColumn="0" w:noHBand="0" w:noVBand="0" w:val="0000"/>
        <w:tblBorders>
          <w:top w:val="single" w:sz="4" w:space="0" w:color="BFC7D1"/>
          <w:left w:val="single" w:sz="4" w:space="0" w:color="BFC7D1"/>
          <w:bottom w:val="single" w:sz="4" w:space="0" w:color="BFC7D1"/>
          <w:right w:val="single" w:sz="4" w:space="0" w:color="BFC7D1"/>
          <w:insideH w:val="single" w:sz="4" w:space="0" w:color="BFC7D1"/>
          <w:insideV w:val="single" w:sz="4" w:space="0" w:color="BFC7D1"/>
        </w:tblBorders>
        <w:tblLayout w:type="fixed"/>
      </w:tblPr>
      <w:tblGrid>
        <w:gridCol w:w="2620"/>
        <w:gridCol w:w="6739"/>
      </w:tblGrid>
      <w:tr>
        <w:tc>
          <w:tcPr>
            <w:tcW w:type="dxa" w:w="2620"/>
            <w:shd w:val="clear" w:color="auto" w:fill="F2F4F7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Subsidiary</w:t>
            </w:r>
          </w:p>
        </w:tc>
        <w:tc>
          <w:tcPr>
            <w:tcW w:type="dxa" w:w="6739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MinIO, Inc. [TBC: confirm it is the parent of MinIO Pvt. Ltd. and MinIO Singapore Pte. Ltd.]</w:t>
            </w:r>
          </w:p>
        </w:tc>
      </w:tr>
      <w:tr>
        <w:tc>
          <w:tcPr>
            <w:tcW w:type="dxa" w:w="2620"/>
            <w:shd w:val="clear" w:color="auto" w:fill="F2F4F7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Include Children</w:t>
            </w:r>
          </w:p>
        </w:tc>
        <w:tc>
          <w:tcPr>
            <w:tcW w:type="dxa" w:w="6739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Yes, so all three subsidiaries can sell the items</w:t>
            </w:r>
          </w:p>
        </w:tc>
      </w:tr>
      <w:tr>
        <w:tc>
          <w:tcPr>
            <w:tcW w:type="dxa" w:w="2620"/>
            <w:shd w:val="clear" w:color="auto" w:fill="F2F4F7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Sales Description</w:t>
            </w:r>
          </w:p>
        </w:tc>
        <w:tc>
          <w:tcPr>
            <w:tcW w:type="dxa" w:w="6739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[TBC: repeat the Display Name/Code, or other text]</w:t>
            </w:r>
          </w:p>
        </w:tc>
      </w:tr>
      <w:tr>
        <w:tc>
          <w:tcPr>
            <w:tcW w:type="dxa" w:w="2620"/>
            <w:shd w:val="clear" w:color="auto" w:fill="F2F4F7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Base Price</w:t>
            </w:r>
          </w:p>
        </w:tc>
        <w:tc>
          <w:tcPr>
            <w:tcW w:type="dxa" w:w="6739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[TBC: list price per item, or blank and priced on each order]</w:t>
            </w:r>
          </w:p>
        </w:tc>
      </w:tr>
      <w:tr>
        <w:tc>
          <w:tcPr>
            <w:tcW w:type="dxa" w:w="2620"/>
            <w:shd w:val="clear" w:color="auto" w:fill="F2F4F7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Create Revenue Plans On</w:t>
            </w:r>
          </w:p>
        </w:tc>
        <w:tc>
          <w:tcPr>
            <w:tcW w:type="dxa" w:w="6739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[TBC]</w:t>
            </w:r>
          </w:p>
        </w:tc>
      </w:tr>
      <w:tr>
        <w:tc>
          <w:tcPr>
            <w:tcW w:type="dxa" w:w="2620"/>
            <w:shd w:val="clear" w:color="auto" w:fill="F2F4F7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Direct Revenue Posting</w:t>
            </w:r>
          </w:p>
        </w:tc>
        <w:tc>
          <w:tcPr>
            <w:tcW w:type="dxa" w:w="6739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[TBC: usually No when revenue recognition runs in NetSuite]</w:t>
            </w:r>
          </w:p>
        </w:tc>
      </w:tr>
      <w:tr>
        <w:tc>
          <w:tcPr>
            <w:tcW w:type="dxa" w:w="2620"/>
            <w:shd w:val="clear" w:color="auto" w:fill="F2F4F7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Can be fulfilled/received</w:t>
            </w:r>
          </w:p>
        </w:tc>
        <w:tc>
          <w:tcPr>
            <w:tcW w:type="dxa" w:w="6739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[TBC: usually No for services and licenses]</w:t>
            </w:r>
          </w:p>
        </w:tc>
      </w:tr>
    </w:tbl>
    <w:bookmarkEnd w:id="23"/>
    <w:bookmarkStart w:id="24" w:name="open-questions"/>
    <w:p>
      <w:pPr>
        <w:pStyle w:val="Heading1"/>
      </w:pPr>
      <w:r>
        <w:t xml:space="preserve">Open questions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OEM license.</w:t>
      </w:r>
      <w:r>
        <w:t xml:space="preserve"> </w:t>
      </w:r>
      <w:r>
        <w:t xml:space="preserve">Does AIStor OEM License use the same accounts and rule as the direct licenses?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Platform training subscription.</w:t>
      </w:r>
      <w:r>
        <w:t xml:space="preserve"> </w:t>
      </w:r>
      <w:r>
        <w:t xml:space="preserve">Is it recognized like the live trainings or like a subscription?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Base Price.</w:t>
      </w:r>
      <w:r>
        <w:t xml:space="preserve"> </w:t>
      </w:r>
      <w:r>
        <w:t xml:space="preserve">Do these items have list prices?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Classes in production.</w:t>
      </w:r>
      <w:r>
        <w:t xml:space="preserve"> </w:t>
      </w:r>
      <w:r>
        <w:t xml:space="preserve">License, Support, Training and Professional Services must exist in production before this load.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Professional Services.</w:t>
      </w:r>
      <w:r>
        <w:t xml:space="preserve"> </w:t>
      </w:r>
      <w:r>
        <w:t xml:space="preserve">It is a class, but no item uses it. Are professional services items missing from this load?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Template header.</w:t>
      </w:r>
      <w:r>
        <w:t xml:space="preserve"> </w:t>
      </w:r>
      <w:r>
        <w:t xml:space="preserve">The template spells</w:t>
      </w:r>
      <w:r>
        <w:t xml:space="preserve"> </w:t>
      </w:r>
      <w:r>
        <w:rPr>
          <w:rStyle w:val="VerbatimChar"/>
        </w:rPr>
        <w:t xml:space="preserve">Revenue Recogition Rule</w:t>
      </w:r>
      <w:r>
        <w:t xml:space="preserve">. Kept as is; it only needs to match when mapping the import.</w:t>
      </w:r>
    </w:p>
    <w:bookmarkEnd w:id="24"/>
    <w:sectPr>
      <w:pgSz w:w="12240" w:h="15840"/>
      <w:pgMar w:left="1440" w:right="1440" w:top="1440" w:bottom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  <w:color w:val="000000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hAnsi="Arial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/>
      <w:color w:val="000000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/>
      <w:color w:val="000000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left"/>
    </w:pPr>
    <w:rPr>
      <w:rFonts w:asciiTheme="majorHAnsi" w:cstheme="majorBidi" w:eastAsiaTheme="majorEastAsia" w:hAnsiTheme="majorHAnsi" w:ascii="Arial" w:hAnsi="Arial"/>
      <w:b/>
      <w:bCs/>
      <w:i w:val="0"/>
      <w:color w:val="000000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left"/>
    </w:pPr>
    <w:rPr>
      <w:rFonts w:ascii="Georgia" w:hAnsi="Georgia"/>
      <w:i/>
      <w:color w:val="666666"/>
      <w:sz w:val="32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Arial" w:hAnsi="Arial"/>
      <w:b/>
      <w:bCs/>
      <w:i w:val="0"/>
      <w:color w:val="2E74B5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Arial" w:hAnsi="Arial"/>
      <w:b/>
      <w:bCs/>
      <w:i w:val="0"/>
      <w:color w:val="2E74B5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Arial" w:hAnsi="Arial"/>
      <w:b/>
      <w:bCs/>
      <w:i w:val="0"/>
      <w:color w:val="1F4D78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rPr>
      <w:rFonts w:ascii="Arial" w:hAnsi="Arial"/>
      <w:i/>
      <w:color w:val="555555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NetSuite non-inventory items load</dc:title>
  <dc:creator/>
  <cp:keywords/>
  <dcterms:created xsi:type="dcterms:W3CDTF">2026-10-26T03:32:02Z</dcterms:created>
  <dcterms:modified xsi:type="dcterms:W3CDTF">2026-10-26T03:32:02Z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Non-inventory Item for Sale import: MINIO_-_Noninventory_for_Sale.csv</vt:lpwstr>
  </property>
</Properties>
</file>