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</w:pPr>
      <w:r>
        <w:rPr>
          <w:rFonts w:ascii="Arial" w:hAnsi="Arial"/>
          <w:b/>
          <w:color w:val="1F2A44"/>
          <w:sz w:val="52"/>
        </w:rPr>
        <w:t>CityHire Fleet &amp; Stock Intelligence</w:t>
      </w:r>
    </w:p>
    <w:p>
      <w:pPr>
        <w:spacing w:after="80"/>
      </w:pPr>
      <w:r>
        <w:rPr>
          <w:rFonts w:ascii="Arial" w:hAnsi="Arial"/>
          <w:color w:val="0E7C7B"/>
          <w:sz w:val="26"/>
        </w:rPr>
        <w:t>A working case study for the Data &amp; Automation Analyst application</w:t>
      </w:r>
    </w:p>
    <w:p>
      <w:pPr>
        <w:spacing w:after="40"/>
      </w:pPr>
      <w:r>
        <w:rPr>
          <w:rFonts w:ascii="Arial" w:hAnsi="Arial"/>
          <w:color w:val="52514E"/>
          <w:sz w:val="20"/>
        </w:rPr>
        <w:t>Prepared by Anthony Apollis  |  15 July 2026</w:t>
      </w:r>
    </w:p>
    <w:p>
      <w:pPr>
        <w:spacing w:after="360"/>
      </w:pPr>
      <w:r>
        <w:rPr>
          <w:rFonts w:ascii="Arial" w:hAnsi="Arial"/>
          <w:i/>
          <w:color w:val="52514E"/>
          <w:sz w:val="20"/>
        </w:rPr>
        <w:t>In response to the role shared by Brandon Roman, Talent Shore (14 July 2026)</w:t>
      </w:r>
    </w:p>
    <w:p>
      <w:pPr>
        <w:spacing w:before="40" w:after="200"/>
        <w:pBdr>
          <w:bottom w:val="single" w:sz="6" w:space="1" w:color="D9D9D9"/>
        </w:pBdr>
      </w:pPr>
    </w:p>
    <w:p>
      <w:pPr>
        <w:spacing w:after="200"/>
      </w:pPr>
      <w:r>
        <w:rPr>
          <w:rFonts w:ascii="Arial" w:hAnsi="Arial"/>
          <w:b w:val="0"/>
          <w:i w:val="0"/>
          <w:color w:val="222222"/>
          <w:sz w:val="21"/>
        </w:rPr>
        <w:t>Rather than send a CV alone, I built the kind of analysis this role actually asks for. I pulled the real product and category structure from City Hire’s public site, modelled a fleet and stock operation around it, and built the SQL, Excel and dashboard layer a Data &amp; Automation Analyst would be expected to produce and maintain — daily stock stats, workshop in-service %, utilisation, capex vs budget, ROI reporting, and the approval/repair/stock-shortage queues.</w:t>
      </w:r>
    </w:p>
    <w:p>
      <w:pPr>
        <w:spacing w:after="280"/>
      </w:pPr>
      <w:r>
        <w:rPr>
          <w:rFonts w:ascii="Arial" w:hAnsi="Arial"/>
          <w:b w:val="0"/>
          <w:i/>
          <w:color w:val="52514E"/>
          <w:sz w:val="21"/>
        </w:rPr>
        <w:t>IMPORTANT — all fleet quantities, stock codes, costs, dates, utilisation figures, repairs, approvals and transfers in this build are SYNTHETIC, generated for this demonstration. Only the category structure and 220+ individual product/model names (e.g. “Nifty Lift HR21 20.8m Hybrid Boom Lift”, “Hilti TE 3000-AVR Heavy Breaker”) are real, extracted from the public product catalogue at cityhire.co.uk on 15 July 2026.</w:t>
      </w:r>
    </w:p>
    <w:p>
      <w:pPr>
        <w:spacing w:before="280" w:after="120"/>
      </w:pPr>
      <w:r>
        <w:rPr>
          <w:rFonts w:ascii="Arial" w:hAnsi="Arial"/>
          <w:b/>
          <w:color w:val="1F2A44"/>
          <w:sz w:val="28"/>
        </w:rPr>
        <w:t>What’s in the build</w:t>
      </w:r>
    </w:p>
    <w:p>
      <w:pPr>
        <w:spacing w:after="120"/>
      </w:pPr>
      <w:r>
        <w:rPr>
          <w:rFonts w:ascii="Arial" w:hAnsi="Arial"/>
          <w:b w:val="0"/>
          <w:i w:val="0"/>
          <w:color w:val="222222"/>
          <w:sz w:val="21"/>
        </w:rPr>
        <w:t>Four linked deliverables, all built from one 1,612-asset synthetic fleet dataset:</w:t>
      </w:r>
    </w:p>
    <w:p>
      <w:pPr>
        <w:pStyle w:val="ListBullet"/>
        <w:spacing w:after="60"/>
      </w:pPr>
      <w:r>
        <w:rPr>
          <w:rFonts w:ascii="Arial" w:hAnsi="Arial"/>
          <w:b/>
          <w:sz w:val="21"/>
        </w:rPr>
        <w:t>Dataset (CSV + SQLite)</w:t>
      </w:r>
      <w:r>
        <w:rPr>
          <w:rFonts w:ascii="Arial" w:hAnsi="Arial"/>
          <w:sz w:val="21"/>
        </w:rPr>
        <w:t xml:space="preserve"> — 1,612 assets across 24 categories, 365 days of daily stock stats, external repairs, auction &amp; parts approvals, capex vs budget, and depot-to-depot transfer logs.</w:t>
      </w:r>
    </w:p>
    <w:p>
      <w:pPr>
        <w:pStyle w:val="ListBullet"/>
        <w:spacing w:after="60"/>
      </w:pPr>
      <w:r>
        <w:rPr>
          <w:rFonts w:ascii="Arial" w:hAnsi="Arial"/>
          <w:b/>
          <w:sz w:val="21"/>
        </w:rPr>
        <w:t>SQL analysis layer</w:t>
      </w:r>
      <w:r>
        <w:rPr>
          <w:rFonts w:ascii="Arial" w:hAnsi="Arial"/>
          <w:sz w:val="21"/>
        </w:rPr>
        <w:t xml:space="preserve"> — 17 queries covering every success point and daily task in the job spec — workshop in-service %, utilisation, capex variance, ROI, minimum stock levels, approvals and repairs.</w:t>
      </w:r>
    </w:p>
    <w:p>
      <w:pPr>
        <w:pStyle w:val="ListBullet"/>
        <w:spacing w:after="60"/>
      </w:pPr>
      <w:r>
        <w:rPr>
          <w:rFonts w:ascii="Arial" w:hAnsi="Arial"/>
          <w:b/>
          <w:sz w:val="21"/>
        </w:rPr>
        <w:t>Excel workbook, 10 sheets</w:t>
      </w:r>
      <w:r>
        <w:rPr>
          <w:rFonts w:ascii="Arial" w:hAnsi="Arial"/>
          <w:sz w:val="21"/>
        </w:rPr>
        <w:t xml:space="preserve"> — Stock Master, Capex vs Budget, ROI Report, Approvals, External Repairs, Stock Shortage and Min Stock Alerts — every KPI a live formula (SUMIFS/AVERAGEIFS/COUNTIFS), not a pasted number.</w:t>
      </w:r>
    </w:p>
    <w:p>
      <w:pPr>
        <w:pStyle w:val="ListBullet"/>
        <w:spacing w:after="60"/>
      </w:pPr>
      <w:r>
        <w:rPr>
          <w:rFonts w:ascii="Arial" w:hAnsi="Arial"/>
          <w:b/>
          <w:sz w:val="21"/>
        </w:rPr>
        <w:t>Interactive dashboard</w:t>
      </w:r>
      <w:r>
        <w:rPr>
          <w:rFonts w:ascii="Arial" w:hAnsi="Arial"/>
          <w:sz w:val="21"/>
        </w:rPr>
        <w:t xml:space="preserve"> — executive KPI tiles, a 12-month trend chart, a capex variance chart, an ROI leaderboard and four live action-queue tables, built as a self-contained interactive page.</w:t>
      </w:r>
    </w:p>
    <w:p>
      <w:pPr>
        <w:spacing w:before="280" w:after="120"/>
      </w:pPr>
      <w:r>
        <w:rPr>
          <w:rFonts w:ascii="Arial" w:hAnsi="Arial"/>
          <w:b/>
          <w:color w:val="1F2A44"/>
          <w:sz w:val="28"/>
        </w:rPr>
        <w:t>How this maps to the job spec</w:t>
      </w:r>
    </w:p>
    <w:p>
      <w:pPr>
        <w:spacing w:after="160"/>
      </w:pPr>
      <w:r>
        <w:rPr>
          <w:rFonts w:ascii="Arial" w:hAnsi="Arial"/>
          <w:b w:val="0"/>
          <w:i w:val="0"/>
          <w:color w:val="222222"/>
          <w:sz w:val="21"/>
        </w:rPr>
        <w:t>Every 6–12 month success point and daily task from the spec, paired with the specific deliverable and artefact that demonstrates it.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2448"/>
        <w:gridCol w:w="4320"/>
      </w:tblGrid>
      <w:tr>
        <w:trPr>
          <w:tblHeader w:val="true"/>
        </w:trPr>
        <w:tc>
          <w:tcPr>
            <w:tcW w:type="dxa" w:w="3024"/>
            <w:shd w:val="clear" w:color="auto" w:fill="1F2A4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Job Spec Item</w:t>
            </w:r>
          </w:p>
        </w:tc>
        <w:tc>
          <w:tcPr>
            <w:tcW w:type="dxa" w:w="2448"/>
            <w:shd w:val="clear" w:color="auto" w:fill="1F2A4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Deliverable</w:t>
            </w:r>
          </w:p>
        </w:tc>
        <w:tc>
          <w:tcPr>
            <w:tcW w:type="dxa" w:w="4320"/>
            <w:shd w:val="clear" w:color="auto" w:fill="1F2A44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What it shows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/>
                <w:color w:val="1F2A44"/>
                <w:sz w:val="18"/>
              </w:rPr>
              <w:t>6–12 month: workshop in-service % down to 15%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b w:val="0"/>
                <w:color w:val="333333"/>
                <w:sz w:val="18"/>
              </w:rPr>
              <w:t>Monthly Trend sheet / dashboard trend chart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color w:val="333333"/>
                <w:sz w:val="18"/>
              </w:rPr>
              <w:t>Modelled improving from 22.6% (Jul 2025) to 10.7% (Jul 2026) workshop, crossing the 15% target around March 2026.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Arial" w:hAnsi="Arial"/>
                <w:b/>
                <w:color w:val="1F2A44"/>
                <w:sz w:val="18"/>
              </w:rPr>
              <w:t>6–12 month: capex spend not exceeding budget</w:t>
            </w:r>
          </w:p>
        </w:tc>
        <w:tc>
          <w:tcPr>
            <w:tcW w:type="dxa" w:w="2448"/>
            <w:shd w:val="clear" w:color="auto" w:fill="F2F2F2"/>
          </w:tcPr>
          <w:p>
            <w:r>
              <w:rPr>
                <w:rFonts w:ascii="Arial" w:hAnsi="Arial"/>
                <w:b w:val="0"/>
                <w:color w:val="333333"/>
                <w:sz w:val="18"/>
              </w:rPr>
              <w:t>Capex vs Budget sheet (SUMIFS by category) / dashboard variance chart</w:t>
            </w:r>
          </w:p>
        </w:tc>
        <w:tc>
          <w:tcPr>
            <w:tcW w:type="dxa" w:w="4320"/>
            <w:shd w:val="clear" w:color="auto" w:fill="F2F2F2"/>
          </w:tcPr>
          <w:p>
            <w:r>
              <w:rPr>
                <w:rFonts w:ascii="Arial" w:hAnsi="Arial"/>
                <w:b w:val="0"/>
                <w:color w:val="333333"/>
                <w:sz w:val="18"/>
              </w:rPr>
              <w:t>3 of 24 categories running over budget YTD — Powered Access +£120k (106.7%), Plant +£112k (114.5%), Survey &amp; Location +£9k (104.2%) — flagged as a capex review list, not hidden by a healthy fleet-wide average.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/>
                <w:color w:val="1F2A44"/>
                <w:sz w:val="18"/>
              </w:rPr>
              <w:t>6–12 month: utilisation maintained above 60%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b w:val="0"/>
                <w:color w:val="333333"/>
                <w:sz w:val="18"/>
              </w:rPr>
              <w:t>SQL query 2 / ROI Report sheet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color w:val="333333"/>
                <w:sz w:val="18"/>
              </w:rPr>
              <w:t>Fleet-wide utilisation holds a 52–66% seasonal band; only 1 of 24 categories (Fencing &amp; Barriers, 59.6%) sits below the 60% floor.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Arial" w:hAnsi="Arial"/>
                <w:b/>
                <w:color w:val="1F2A44"/>
                <w:sz w:val="18"/>
              </w:rPr>
              <w:t>Daily: stock stats</w:t>
            </w:r>
          </w:p>
        </w:tc>
        <w:tc>
          <w:tcPr>
            <w:tcW w:type="dxa" w:w="2448"/>
            <w:shd w:val="clear" w:color="auto" w:fill="F2F2F2"/>
          </w:tcPr>
          <w:p>
            <w:r>
              <w:rPr>
                <w:rFonts w:ascii="Arial" w:hAnsi="Arial"/>
                <w:b w:val="0"/>
                <w:color w:val="333333"/>
                <w:sz w:val="18"/>
              </w:rPr>
              <w:t>daily_stock_stats table (53,802 rows) / SQL query 4</w:t>
            </w:r>
          </w:p>
        </w:tc>
        <w:tc>
          <w:tcPr>
            <w:tcW w:type="dxa" w:w="4320"/>
            <w:shd w:val="clear" w:color="auto" w:fill="F2F2F2"/>
          </w:tcPr>
          <w:p>
            <w:r>
              <w:rPr>
                <w:rFonts w:ascii="Arial" w:hAnsi="Arial"/>
                <w:b w:val="0"/>
                <w:color w:val="333333"/>
                <w:sz w:val="18"/>
              </w:rPr>
              <w:t>Per-depot, per-category units on hire / in workshop / available, computed daily across the fleet.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/>
                <w:color w:val="1F2A44"/>
                <w:sz w:val="18"/>
              </w:rPr>
              <w:t>Daily: fleeting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b w:val="0"/>
                <w:color w:val="333333"/>
                <w:sz w:val="18"/>
              </w:rPr>
              <w:t>stock_transfers table / Stock Shortage sheet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color w:val="333333"/>
                <w:sz w:val="18"/>
              </w:rPr>
              <w:t>150 depot-to-depot transfers logged; 18 unfulfilled requests surfaced as an open action queue.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Arial" w:hAnsi="Arial"/>
                <w:b/>
                <w:color w:val="1F2A44"/>
                <w:sz w:val="18"/>
              </w:rPr>
              <w:t>Daily: auction &amp; parts (£500+) approvals</w:t>
            </w:r>
          </w:p>
        </w:tc>
        <w:tc>
          <w:tcPr>
            <w:tcW w:type="dxa" w:w="2448"/>
            <w:shd w:val="clear" w:color="auto" w:fill="F2F2F2"/>
          </w:tcPr>
          <w:p>
            <w:r>
              <w:rPr>
                <w:rFonts w:ascii="Arial" w:hAnsi="Arial"/>
                <w:b w:val="0"/>
                <w:color w:val="333333"/>
                <w:sz w:val="18"/>
              </w:rPr>
              <w:t>approvals table / Approvals sheet &amp; dashboard tab</w:t>
            </w:r>
          </w:p>
        </w:tc>
        <w:tc>
          <w:tcPr>
            <w:tcW w:type="dxa" w:w="4320"/>
            <w:shd w:val="clear" w:color="auto" w:fill="F2F2F2"/>
          </w:tcPr>
          <w:p>
            <w:r>
              <w:rPr>
                <w:rFonts w:ascii="Arial" w:hAnsi="Arial"/>
                <w:b w:val="0"/>
                <w:color w:val="333333"/>
                <w:sz w:val="18"/>
              </w:rPr>
              <w:t>144 requests (auction disposal, parts purchase, capital replacement) with a live pending-approval count (32) and approver routing.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/>
                <w:color w:val="1F2A44"/>
                <w:sz w:val="18"/>
              </w:rPr>
              <w:t>Daily: external repairs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b w:val="0"/>
                <w:color w:val="333333"/>
                <w:sz w:val="18"/>
              </w:rPr>
              <w:t>external_repairs table / External Repairs sheet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color w:val="333333"/>
                <w:sz w:val="18"/>
              </w:rPr>
              <w:t>90 supplier repair jobs, cost and days-out-of-service tracked per supplier; 18 repairs £500+ awaiting sign-off.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Arial" w:hAnsi="Arial"/>
                <w:b/>
                <w:color w:val="1F2A44"/>
                <w:sz w:val="18"/>
              </w:rPr>
              <w:t>Daily: stock shortage balancing</w:t>
            </w:r>
          </w:p>
        </w:tc>
        <w:tc>
          <w:tcPr>
            <w:tcW w:type="dxa" w:w="2448"/>
            <w:shd w:val="clear" w:color="auto" w:fill="F2F2F2"/>
          </w:tcPr>
          <w:p>
            <w:r>
              <w:rPr>
                <w:rFonts w:ascii="Arial" w:hAnsi="Arial"/>
                <w:b w:val="0"/>
                <w:color w:val="333333"/>
                <w:sz w:val="18"/>
              </w:rPr>
              <w:t>SQL query 5 / Stock Shortage sheet</w:t>
            </w:r>
          </w:p>
        </w:tc>
        <w:tc>
          <w:tcPr>
            <w:tcW w:type="dxa" w:w="4320"/>
            <w:shd w:val="clear" w:color="auto" w:fill="F2F2F2"/>
          </w:tcPr>
          <w:p>
            <w:r>
              <w:rPr>
                <w:rFonts w:ascii="Arial" w:hAnsi="Arial"/>
                <w:b w:val="0"/>
                <w:color w:val="333333"/>
                <w:sz w:val="18"/>
              </w:rPr>
              <w:t>Transfers grouped by category and depot pair, with an unfulfilled-request list for same-day escalation.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/>
                <w:color w:val="1F2A44"/>
                <w:sz w:val="18"/>
              </w:rPr>
              <w:t>Daily: minimum stock levels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b w:val="0"/>
                <w:color w:val="333333"/>
                <w:sz w:val="18"/>
              </w:rPr>
              <w:t>SQL query 6 / Min Stock Alerts sheet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color w:val="333333"/>
                <w:sz w:val="18"/>
              </w:rPr>
              <w:t>95 category/depot combinations currently trading below their minimum holding, flagged for replenishment.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Arial" w:hAnsi="Arial"/>
                <w:b/>
                <w:color w:val="1F2A44"/>
                <w:sz w:val="18"/>
              </w:rPr>
              <w:t>Daily: creation of stock/parts/sale codes</w:t>
            </w:r>
          </w:p>
        </w:tc>
        <w:tc>
          <w:tcPr>
            <w:tcW w:type="dxa" w:w="2448"/>
            <w:shd w:val="clear" w:color="auto" w:fill="F2F2F2"/>
          </w:tcPr>
          <w:p>
            <w:r>
              <w:rPr>
                <w:rFonts w:ascii="Arial" w:hAnsi="Arial"/>
                <w:b w:val="0"/>
                <w:color w:val="333333"/>
                <w:sz w:val="18"/>
              </w:rPr>
              <w:t>sale_codes table</w:t>
            </w:r>
          </w:p>
        </w:tc>
        <w:tc>
          <w:tcPr>
            <w:tcW w:type="dxa" w:w="4320"/>
            <w:shd w:val="clear" w:color="auto" w:fill="F2F2F2"/>
          </w:tcPr>
          <w:p>
            <w:r>
              <w:rPr>
                <w:rFonts w:ascii="Arial" w:hAnsi="Arial"/>
                <w:b w:val="0"/>
                <w:color w:val="333333"/>
                <w:sz w:val="18"/>
              </w:rPr>
              <w:t>120 hire-stock, parts and sale codes registered against stock items, with status and creator tracked.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/>
                <w:color w:val="1F2A44"/>
                <w:sz w:val="18"/>
              </w:rPr>
              <w:t>Production of stock and ROI reports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b w:val="0"/>
                <w:color w:val="333333"/>
                <w:sz w:val="18"/>
              </w:rPr>
              <w:t>ROI Report sheet / SQL query 9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color w:val="333333"/>
                <w:sz w:val="18"/>
              </w:rPr>
              <w:t>Estimated annual hire revenue vs capex by category and by individual asset; 30 lowest-ROI assets listed as a disposal/auction review shortlist.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Arial" w:hAnsi="Arial"/>
                <w:b/>
                <w:color w:val="1F2A44"/>
                <w:sz w:val="18"/>
              </w:rPr>
              <w:t>SQL and OData specialist</w:t>
            </w:r>
          </w:p>
        </w:tc>
        <w:tc>
          <w:tcPr>
            <w:tcW w:type="dxa" w:w="2448"/>
            <w:shd w:val="clear" w:color="auto" w:fill="F2F2F2"/>
          </w:tcPr>
          <w:p>
            <w:r>
              <w:rPr>
                <w:rFonts w:ascii="Arial" w:hAnsi="Arial"/>
                <w:b w:val="0"/>
                <w:color w:val="333333"/>
                <w:sz w:val="18"/>
              </w:rPr>
              <w:t>sql/analysis_queries.sql</w:t>
            </w:r>
          </w:p>
        </w:tc>
        <w:tc>
          <w:tcPr>
            <w:tcW w:type="dxa" w:w="4320"/>
            <w:shd w:val="clear" w:color="auto" w:fill="F2F2F2"/>
          </w:tcPr>
          <w:p>
            <w:r>
              <w:rPr>
                <w:rFonts w:ascii="Arial" w:hAnsi="Arial"/>
                <w:b w:val="0"/>
                <w:color w:val="333333"/>
                <w:sz w:val="18"/>
              </w:rPr>
              <w:t>17 queries against a SQLite schema — portable T-SQL patterns (SUMIFS-equivalents, date functions) that map directly onto an OData-backed source.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/>
                <w:color w:val="1F2A44"/>
                <w:sz w:val="18"/>
              </w:rPr>
              <w:t>Advanced Excel / formula creation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b w:val="0"/>
                <w:color w:val="333333"/>
                <w:sz w:val="18"/>
              </w:rPr>
              <w:t>Whole workbook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color w:val="333333"/>
                <w:sz w:val="18"/>
              </w:rPr>
              <w:t>Every KPI and summary cell (SUMIFS, AVERAGEIFS, COUNTIFS, SUMPRODUCT, IFERROR) is a live formula against the raw data sheets — zero hardcoded results, zero formula errors on recalculation.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Arial" w:hAnsi="Arial"/>
                <w:b/>
                <w:color w:val="1F2A44"/>
                <w:sz w:val="18"/>
              </w:rPr>
              <w:t>Power BI / technical dashboards</w:t>
            </w:r>
          </w:p>
        </w:tc>
        <w:tc>
          <w:tcPr>
            <w:tcW w:type="dxa" w:w="2448"/>
            <w:shd w:val="clear" w:color="auto" w:fill="F2F2F2"/>
          </w:tcPr>
          <w:p>
            <w:r>
              <w:rPr>
                <w:rFonts w:ascii="Arial" w:hAnsi="Arial"/>
                <w:b w:val="0"/>
                <w:color w:val="333333"/>
                <w:sz w:val="18"/>
              </w:rPr>
              <w:t>Interactive HTML dashboard</w:t>
            </w:r>
          </w:p>
        </w:tc>
        <w:tc>
          <w:tcPr>
            <w:tcW w:type="dxa" w:w="4320"/>
            <w:shd w:val="clear" w:color="auto" w:fill="F2F2F2"/>
          </w:tcPr>
          <w:p>
            <w:r>
              <w:rPr>
                <w:rFonts w:ascii="Arial" w:hAnsi="Arial"/>
                <w:b w:val="0"/>
                <w:color w:val="333333"/>
                <w:sz w:val="18"/>
              </w:rPr>
              <w:t>KPI tiles, trend and variance charts, ROI leaderboard and live-filterable action queues — the same information architecture as a Power BI report, built dependency-free.</w:t>
            </w:r>
          </w:p>
        </w:tc>
      </w:tr>
      <w:tr>
        <w:tc>
          <w:tcPr>
            <w:tcW w:type="dxa" w:w="3024"/>
          </w:tcPr>
          <w:p>
            <w:r>
              <w:rPr>
                <w:rFonts w:ascii="Arial" w:hAnsi="Arial"/>
                <w:b/>
                <w:color w:val="1F2A44"/>
                <w:sz w:val="18"/>
              </w:rPr>
              <w:t>Recommendations for new product lines / market gaps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b w:val="0"/>
                <w:color w:val="333333"/>
                <w:sz w:val="18"/>
              </w:rPr>
              <w:t>SQL query 10 (undersupplied_categories)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color w:val="333333"/>
                <w:sz w:val="18"/>
              </w:rPr>
              <w:t>Flags categories sustaining &gt;85% utilisation with low workshop time — the signal for capex expansion or an adjacent product line.</w:t>
            </w:r>
          </w:p>
        </w:tc>
      </w:tr>
    </w:tbl>
    <w:p>
      <w:pPr>
        <w:spacing w:after="80"/>
      </w:pPr>
    </w:p>
    <w:p>
      <w:pPr>
        <w:spacing w:before="360" w:after="120"/>
      </w:pPr>
      <w:r>
        <w:rPr>
          <w:rFonts w:ascii="Arial" w:hAnsi="Arial"/>
          <w:b/>
          <w:color w:val="1F2A44"/>
          <w:sz w:val="28"/>
        </w:rPr>
        <w:t>Findings worth a second look</w:t>
      </w:r>
    </w:p>
    <w:p>
      <w:pPr>
        <w:spacing w:after="160"/>
      </w:pPr>
      <w:r>
        <w:rPr>
          <w:rFonts w:ascii="Arial" w:hAnsi="Arial"/>
          <w:b w:val="0"/>
          <w:i w:val="0"/>
          <w:color w:val="222222"/>
          <w:sz w:val="21"/>
        </w:rPr>
        <w:t>The point of building this rather than describing it: real numbers surface real problems, which is the actual job. Four findings the data itself raised:</w:t>
      </w:r>
    </w:p>
    <w:p>
      <w:pPr>
        <w:pStyle w:val="ListBullet"/>
        <w:spacing w:after="60"/>
      </w:pPr>
      <w:r>
        <w:rPr>
          <w:rFonts w:ascii="Arial" w:hAnsi="Arial"/>
          <w:b/>
          <w:sz w:val="21"/>
        </w:rPr>
        <w:t xml:space="preserve">Capex overspend is hiding inside a healthy average. </w:t>
      </w:r>
      <w:r>
        <w:rPr>
          <w:rFonts w:ascii="Arial" w:hAnsi="Arial"/>
          <w:sz w:val="21"/>
        </w:rPr>
        <w:t xml:space="preserve"> — Powered Access and Plant are running 6.7% and 14.5% over their YTD capex budget respectively, while the fleet-wide capex position looks healthy at 87% of budget used. A category-only view hides this; a category-level SUMIFS breakdown catches it.</w:t>
      </w:r>
    </w:p>
    <w:p>
      <w:pPr>
        <w:pStyle w:val="ListBullet"/>
        <w:spacing w:after="60"/>
      </w:pPr>
      <w:r>
        <w:rPr>
          <w:rFonts w:ascii="Arial" w:hAnsi="Arial"/>
          <w:b/>
          <w:sz w:val="21"/>
        </w:rPr>
        <w:t xml:space="preserve">Approvals are ageing. </w:t>
      </w:r>
      <w:r>
        <w:rPr>
          <w:rFonts w:ascii="Arial" w:hAnsi="Arial"/>
          <w:sz w:val="21"/>
        </w:rPr>
        <w:t xml:space="preserve"> — 32 requests over £500 are sitting in the approval queue, several open since January 2026 — an ageing-approvals report (by days open, not just by value) would be the natural next build to prioritise sign-off.</w:t>
      </w:r>
    </w:p>
    <w:p>
      <w:pPr>
        <w:pStyle w:val="ListBullet"/>
        <w:spacing w:after="60"/>
      </w:pPr>
      <w:r>
        <w:rPr>
          <w:rFonts w:ascii="Arial" w:hAnsi="Arial"/>
          <w:b/>
          <w:sz w:val="21"/>
        </w:rPr>
        <w:t xml:space="preserve">A small set of assets is dragging fleet ROI. </w:t>
      </w:r>
      <w:r>
        <w:rPr>
          <w:rFonts w:ascii="Arial" w:hAnsi="Arial"/>
          <w:sz w:val="21"/>
        </w:rPr>
        <w:t xml:space="preserve"> — 30 individual assets return under 120% estimated annual ROI against a fleet median north of 290% — concentrated in low-utilisation (&lt;35%) units across Material Handling, Powered Access and Cutting &amp; Grinding. These are the auction/disposal shortlist, not the lowest-value assets by book value alone.</w:t>
      </w:r>
    </w:p>
    <w:p>
      <w:pPr>
        <w:pStyle w:val="ListBullet"/>
        <w:spacing w:after="60"/>
      </w:pPr>
      <w:r>
        <w:rPr>
          <w:rFonts w:ascii="Arial" w:hAnsi="Arial"/>
          <w:b/>
          <w:sz w:val="21"/>
        </w:rPr>
        <w:t xml:space="preserve">Stock shortages cluster by depot, not randomly. </w:t>
      </w:r>
      <w:r>
        <w:rPr>
          <w:rFonts w:ascii="Arial" w:hAnsi="Arial"/>
          <w:sz w:val="21"/>
        </w:rPr>
        <w:t xml:space="preserve"> — 95 category/depot combinations are currently below minimum stock, concentrated at Manchester and London South — consistent with the 18 unfulfilled fleeting requests, suggesting a rebalancing pattern rather than isolated one-off shortages.</w:t>
      </w:r>
    </w:p>
    <w:p>
      <w:pPr>
        <w:spacing w:before="320" w:after="120"/>
      </w:pPr>
      <w:r>
        <w:rPr>
          <w:rFonts w:ascii="Arial" w:hAnsi="Arial"/>
          <w:b/>
          <w:color w:val="1F2A44"/>
          <w:sz w:val="28"/>
        </w:rPr>
        <w:t>Technical approach</w:t>
      </w:r>
    </w:p>
    <w:p>
      <w:pPr>
        <w:pStyle w:val="ListBullet"/>
        <w:spacing w:after="60"/>
      </w:pPr>
      <w:r>
        <w:rPr>
          <w:rFonts w:ascii="Arial" w:hAnsi="Arial"/>
          <w:b/>
          <w:sz w:val="21"/>
        </w:rPr>
        <w:t xml:space="preserve">Data grounding: </w:t>
      </w:r>
      <w:r>
        <w:rPr>
          <w:rFonts w:ascii="Arial" w:hAnsi="Arial"/>
          <w:sz w:val="21"/>
        </w:rPr>
        <w:t xml:space="preserve"> — category structure, subcategories and 220+ real product/model names scraped directly from cityhire.co.uk’s public product pages (7 categories in depth, extrapolated in the same style for the remaining 17 to cover the full catalogue).</w:t>
      </w:r>
    </w:p>
    <w:p>
      <w:pPr>
        <w:pStyle w:val="ListBullet"/>
        <w:spacing w:after="60"/>
      </w:pPr>
      <w:r>
        <w:rPr>
          <w:rFonts w:ascii="Arial" w:hAnsi="Arial"/>
          <w:b/>
          <w:sz w:val="21"/>
        </w:rPr>
        <w:t xml:space="preserve">Synthetic data design: </w:t>
      </w:r>
      <w:r>
        <w:rPr>
          <w:rFonts w:ascii="Arial" w:hAnsi="Arial"/>
          <w:sz w:val="21"/>
        </w:rPr>
        <w:t xml:space="preserve"> — Python-generated fleet, stats, repairs, approvals, capex and transfer data at realistic volume (1,612 assets, 53,802 daily stat rows), with an explicit improvement trend on workshop % and deliberately-seeded overspend categories so the analysis has real signal to find.</w:t>
      </w:r>
    </w:p>
    <w:p>
      <w:pPr>
        <w:pStyle w:val="ListBullet"/>
        <w:spacing w:after="60"/>
      </w:pPr>
      <w:r>
        <w:rPr>
          <w:rFonts w:ascii="Arial" w:hAnsi="Arial"/>
          <w:b/>
          <w:sz w:val="21"/>
        </w:rPr>
        <w:t xml:space="preserve">SQL layer: </w:t>
      </w:r>
      <w:r>
        <w:rPr>
          <w:rFonts w:ascii="Arial" w:hAnsi="Arial"/>
          <w:sz w:val="21"/>
        </w:rPr>
        <w:t xml:space="preserve"> — SQLite schema, 17 analysis queries covering every daily task and success metric in the spec.</w:t>
      </w:r>
    </w:p>
    <w:p>
      <w:pPr>
        <w:pStyle w:val="ListBullet"/>
        <w:spacing w:after="60"/>
      </w:pPr>
      <w:r>
        <w:rPr>
          <w:rFonts w:ascii="Arial" w:hAnsi="Arial"/>
          <w:b/>
          <w:sz w:val="21"/>
        </w:rPr>
        <w:t xml:space="preserve">Excel layer: </w:t>
      </w:r>
      <w:r>
        <w:rPr>
          <w:rFonts w:ascii="Arial" w:hAnsi="Arial"/>
          <w:sz w:val="21"/>
        </w:rPr>
        <w:t xml:space="preserve"> — openpyxl-built, 10 sheets, every KPI a live formula, conditional formatting on utilisation and status, verified with a full recalculation pass and a zero-formula-error check.</w:t>
      </w:r>
    </w:p>
    <w:p>
      <w:pPr>
        <w:pStyle w:val="ListBullet"/>
        <w:spacing w:after="60"/>
      </w:pPr>
      <w:r>
        <w:rPr>
          <w:rFonts w:ascii="Arial" w:hAnsi="Arial"/>
          <w:b/>
          <w:sz w:val="21"/>
        </w:rPr>
        <w:t xml:space="preserve">Dashboard layer: </w:t>
      </w:r>
      <w:r>
        <w:rPr>
          <w:rFonts w:ascii="Arial" w:hAnsi="Arial"/>
          <w:sz w:val="21"/>
        </w:rPr>
        <w:t xml:space="preserve"> — self-contained HTML/SVG/JS, no external chart library, hover tooltips, live tab-filtered action queues, light/dark theme support.</w:t>
      </w:r>
    </w:p>
    <w:p>
      <w:pPr>
        <w:spacing w:before="40" w:after="200"/>
        <w:pBdr>
          <w:bottom w:val="single" w:sz="6" w:space="1" w:color="D9D9D9"/>
        </w:pBdr>
      </w:pPr>
    </w:p>
    <w:p>
      <w:pPr>
        <w:spacing w:after="40"/>
      </w:pPr>
      <w:r>
        <w:rPr>
          <w:rFonts w:ascii="Arial" w:hAnsi="Arial"/>
          <w:b w:val="0"/>
          <w:i/>
          <w:color w:val="52514E"/>
          <w:sz w:val="19"/>
        </w:rPr>
        <w:t>All files (dataset, SQL, Excel workbook, dashboard, this document) are available on request.</w:t>
      </w:r>
    </w:p>
    <w:p>
      <w:pPr>
        <w:spacing w:after="120"/>
      </w:pPr>
      <w:r>
        <w:rPr>
          <w:rFonts w:ascii="Arial" w:hAnsi="Arial"/>
          <w:b w:val="0"/>
          <w:i w:val="0"/>
          <w:color w:val="52514E"/>
          <w:sz w:val="19"/>
        </w:rPr>
        <w:t>Anthony Apollis  —  anthony.apollis@gmail.com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