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Arial" w:hAnsi="Arial"/>
          <w:b/>
          <w:color w:val="0C1114"/>
          <w:sz w:val="48"/>
        </w:rPr>
        <w:t>Competitor &amp; Marketing Intelligence</w:t>
      </w:r>
    </w:p>
    <w:p>
      <w:pPr>
        <w:spacing w:after="320"/>
      </w:pPr>
      <w:r>
        <w:rPr>
          <w:rFonts w:ascii="Arial" w:hAnsi="Arial"/>
          <w:color w:val="009B66"/>
          <w:sz w:val="25"/>
        </w:rPr>
        <w:t>Beyond the brief — going past the job spec, addendum to the CityHire Fleet &amp; Stock Intelligence build</w:t>
      </w:r>
    </w:p>
    <w:p>
      <w:pPr>
        <w:spacing w:before="40" w:after="200"/>
        <w:pBdr>
          <w:bottom w:val="single" w:sz="6" w:space="1" w:color="D9D9D9"/>
        </w:pBdr>
      </w:pPr>
    </w:p>
    <w:p>
      <w:pPr>
        <w:spacing w:after="240"/>
      </w:pPr>
      <w:r>
        <w:rPr>
          <w:rFonts w:ascii="Arial" w:hAnsi="Arial"/>
          <w:b w:val="0"/>
          <w:i w:val="0"/>
          <w:color w:val="222222"/>
          <w:sz w:val="21"/>
        </w:rPr>
        <w:t>The job spec asks for stock and fleet analytics. Two of the JD bullets — "supply chain data analysis, with insight into key gaps within the stock and marketplace" and "recommendations of gaps in the market for new product line recommendations" — reach past the fleet data itself into market positioning. This section covers that ground: where City Hire sits against the UK’s national hire chains, and a real, live technical SEO pass on cityhire.co.uk (checked 15 July 2026).</w:t>
      </w:r>
    </w:p>
    <w:p>
      <w:pPr>
        <w:spacing w:before="320" w:after="120"/>
      </w:pPr>
      <w:r>
        <w:rPr>
          <w:rFonts w:ascii="Arial" w:hAnsi="Arial"/>
          <w:b/>
          <w:color w:val="0C1114"/>
          <w:sz w:val="28"/>
        </w:rPr>
        <w:t>The UK tool &amp; plant hire landscape</w:t>
      </w:r>
    </w:p>
    <w:p>
      <w:pPr>
        <w:spacing w:after="160"/>
      </w:pPr>
      <w:r>
        <w:rPr>
          <w:rFonts w:ascii="Arial" w:hAnsi="Arial"/>
          <w:b w:val="0"/>
          <w:i w:val="0"/>
          <w:color w:val="222222"/>
          <w:sz w:val="21"/>
        </w:rPr>
        <w:t>City Hire operates in a market dominated by a small number of very large national chains, alongside a long tail of independent and regional hire companies. The scale gap is the defining fact of this market.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160"/>
        <w:gridCol w:w="4752"/>
      </w:tblGrid>
      <w:tr>
        <w:trPr>
          <w:tblHeader w:val="true"/>
        </w:trPr>
        <w:tc>
          <w:tcPr>
            <w:tcW w:type="dxa" w:w="2880"/>
            <w:shd w:val="clear" w:color="auto" w:fill="0C111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Competitor</w:t>
            </w:r>
          </w:p>
        </w:tc>
        <w:tc>
          <w:tcPr>
            <w:tcW w:type="dxa" w:w="2160"/>
            <w:shd w:val="clear" w:color="auto" w:fill="0C111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Positioning</w:t>
            </w:r>
          </w:p>
        </w:tc>
        <w:tc>
          <w:tcPr>
            <w:tcW w:type="dxa" w:w="4752"/>
            <w:shd w:val="clear" w:color="auto" w:fill="0C111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Sunbelt Rentals UK &amp; Ireland (Ashtead Group)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National, multi-sector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Largest player by group revenue; Ashtead Group's overall scale (employees and revenue) exceeds Speedy Hire's.</w:t>
            </w:r>
          </w:p>
        </w:tc>
      </w:tr>
      <w:tr>
        <w:tc>
          <w:tcPr>
            <w:tcW w:type="dxa" w:w="2880"/>
            <w:shd w:val="clear" w:color="auto" w:fill="F2F5F7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Speedy Hire</w:t>
            </w:r>
          </w:p>
        </w:tc>
        <w:tc>
          <w:tcPr>
            <w:tcW w:type="dxa" w:w="2160"/>
            <w:shd w:val="clear" w:color="auto" w:fill="F2F5F7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National, 180+ depots</w:t>
            </w:r>
          </w:p>
        </w:tc>
        <w:tc>
          <w:tcPr>
            <w:tcW w:type="dxa" w:w="4752"/>
            <w:shd w:val="clear" w:color="auto" w:fill="F2F5F7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Reaches ~85% of the UK's top contractors; leads UK tool-hire brands on organic search visibility (4,126 universal search appearances, most Instagram followers).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HSS Hire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National, est. 1957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Long-established heavy-equipment specialist; highest measured monthly ad spend in the sector (~£289k) and most Facebook likes (21,500); recently sold £35m of assets/depot leases to Speedy.</w:t>
            </w:r>
          </w:p>
        </w:tc>
      </w:tr>
      <w:tr>
        <w:tc>
          <w:tcPr>
            <w:tcW w:type="dxa" w:w="2880"/>
            <w:shd w:val="clear" w:color="auto" w:fill="F2F5F7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GAP Group</w:t>
            </w:r>
          </w:p>
        </w:tc>
        <w:tc>
          <w:tcPr>
            <w:tcW w:type="dxa" w:w="2160"/>
            <w:shd w:val="clear" w:color="auto" w:fill="F2F5F7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National, independent</w:t>
            </w:r>
          </w:p>
        </w:tc>
        <w:tc>
          <w:tcPr>
            <w:tcW w:type="dxa" w:w="4752"/>
            <w:shd w:val="clear" w:color="auto" w:fill="F2F5F7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Large independent operator competing on fleet diversification and customer service rather than group scale.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Brandon Hire Station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National network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Dominates longtail keyword position-3 rankings (1,979 appearances) — a strong long-tail SEO player despite being a smaller brand than Speedy/HSS.</w:t>
            </w:r>
          </w:p>
        </w:tc>
      </w:tr>
      <w:tr>
        <w:tc>
          <w:tcPr>
            <w:tcW w:type="dxa" w:w="2880"/>
            <w:shd w:val="clear" w:color="auto" w:fill="E8F5EF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City Hire</w:t>
            </w:r>
          </w:p>
        </w:tc>
        <w:tc>
          <w:tcPr>
            <w:tcW w:type="dxa" w:w="2160"/>
            <w:shd w:val="clear" w:color="auto" w:fill="E8F5EF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Independent, London-led same-day delivery</w:t>
            </w:r>
          </w:p>
        </w:tc>
        <w:tc>
          <w:tcPr>
            <w:tcW w:type="dxa" w:w="4752"/>
            <w:shd w:val="clear" w:color="auto" w:fill="E8F5EF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Not tracked in the sector's national digital-marketing benchmark reports at all — competes on same-day London/regional delivery and personal service, not ad spend or depot count.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0C1114"/>
          <w:sz w:val="26"/>
        </w:rPr>
        <w:t>Where the market gap actually is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Scale gap, not a service gap. </w:t>
      </w:r>
      <w:r>
        <w:rPr>
          <w:rFonts w:ascii="Arial" w:hAnsi="Arial"/>
          <w:sz w:val="21"/>
        </w:rPr>
        <w:t xml:space="preserve"> — HSS spends up to ~£289k/month on paid search; Speedy leads organic reach with 4,126 universal search appearances. City Hire cannot out-spend or out-scale that. The gap that matters isn’t ad budget, it’s that City Hire isn’t appearing in these sector benchmark reports at all — meaning its digital footprint isn’t yet being measured by the tools advertisers/analysts use to judge the category, a visibility gap before it’s a spend gap.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Long-tail search is winnable. </w:t>
      </w:r>
      <w:r>
        <w:rPr>
          <w:rFonts w:ascii="Arial" w:hAnsi="Arial"/>
          <w:sz w:val="21"/>
        </w:rPr>
        <w:t xml:space="preserve"> — Brandon Hire Station’s strength is in long-tail keyword positions (position 3, 1,979 appearances) rather than head terms — proof that a smaller player can win specific, high-intent searches (e.g. "5-ton excavator hire Hackney") without matching the majors on broad-term spend. City Hire’s same-day-delivery, London-first positioning is exactly this kind of long-tail differentiator, if the technical SEO catches up (see below).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The category’s SEO is currently weak, fleet-wide. </w:t>
      </w:r>
      <w:r>
        <w:rPr>
          <w:rFonts w:ascii="Arial" w:hAnsi="Arial"/>
          <w:sz w:val="21"/>
        </w:rPr>
        <w:t xml:space="preserve"> — Six of ten tracked national brands lost desktop organic traffic in the last measured period (one, Premier Plant Hire, dropped 57%). Structured, consistent SEO/content investment right now is a genuine opportunity while larger competitors are stagnant or declining on this channel.</w:t>
      </w:r>
    </w:p>
    <w:p>
      <w:pPr>
        <w:spacing w:before="400" w:after="120"/>
      </w:pPr>
      <w:r>
        <w:rPr>
          <w:rFonts w:ascii="Arial" w:hAnsi="Arial"/>
          <w:b/>
          <w:color w:val="0C1114"/>
          <w:sz w:val="28"/>
        </w:rPr>
        <w:t>Technical SEO — a live check of cityhire.co.uk</w:t>
      </w:r>
    </w:p>
    <w:p>
      <w:pPr>
        <w:spacing w:after="160"/>
      </w:pPr>
      <w:r>
        <w:rPr>
          <w:rFonts w:ascii="Arial" w:hAnsi="Arial"/>
          <w:b w:val="0"/>
          <w:i w:val="0"/>
          <w:color w:val="222222"/>
          <w:sz w:val="21"/>
        </w:rPr>
        <w:t>Checked directly against the live site on 15 July 2026 (homepage + a product category page). Real findings, not a generic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296"/>
        <w:gridCol w:w="5328"/>
      </w:tblGrid>
      <w:tr>
        <w:trPr>
          <w:tblHeader w:val="true"/>
        </w:trPr>
        <w:tc>
          <w:tcPr>
            <w:tcW w:type="dxa" w:w="3168"/>
            <w:shd w:val="clear" w:color="auto" w:fill="0C111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1296"/>
            <w:shd w:val="clear" w:color="auto" w:fill="0C111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5328"/>
            <w:shd w:val="clear" w:color="auto" w:fill="0C111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Multiple H1 tags on the homepage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The homepage carries 6 &lt;h1&gt; elements (“Live notifications”, “Order Approvals”, “Custom reports”, “24/7 Online Hire &amp; Pickup Management”, “Testimonials”, “Supported projects for”) where feature-card headings should be &lt;h2&gt;/&lt;h3&gt;. This dilutes the page’s single topical signal to search engines.</w:t>
            </w:r>
          </w:p>
        </w:tc>
      </w:tr>
      <w:tr>
        <w:tc>
          <w:tcPr>
            <w:tcW w:type="dxa" w:w="3168"/>
            <w:shd w:val="clear" w:color="auto" w:fill="F2F5F7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Open Graph tags present but empty</w:t>
            </w:r>
          </w:p>
        </w:tc>
        <w:tc>
          <w:tcPr>
            <w:tcW w:type="dxa" w:w="1296"/>
            <w:shd w:val="clear" w:color="auto" w:fill="F2F5F7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Critical</w:t>
            </w:r>
          </w:p>
        </w:tc>
        <w:tc>
          <w:tcPr>
            <w:tcW w:type="dxa" w:w="5328"/>
            <w:shd w:val="clear" w:color="auto" w:fill="F2F5F7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Category pages (checked: /products/cutting-grinding/) declare og:title, og:type, og:url, og:image and og:image:alt — all with blank content. Shared links on LinkedIn, Facebook or WhatsApp render with no title, description or image.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No structured data on product/category pages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/>
                <w:color w:val="D98E04"/>
                <w:sz w:val="18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Zero JSON-LD schema blocks found on the category page tested (the homepage carries exactly one). No LocalBusiness, Product, or Service schema — a missed opportunity given the site’s emphasis on same-day delivery and multiple depot locations, both strong local-SEO signals when marked up.</w:t>
            </w:r>
          </w:p>
        </w:tc>
      </w:tr>
      <w:tr>
        <w:tc>
          <w:tcPr>
            <w:tcW w:type="dxa" w:w="3168"/>
            <w:shd w:val="clear" w:color="auto" w:fill="F2F5F7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4 of 37 images missing alt text</w:t>
            </w:r>
          </w:p>
        </w:tc>
        <w:tc>
          <w:tcPr>
            <w:tcW w:type="dxa" w:w="1296"/>
            <w:shd w:val="clear" w:color="auto" w:fill="F2F5F7"/>
          </w:tcPr>
          <w:p>
            <w:r>
              <w:rPr>
                <w:rFonts w:ascii="Arial" w:hAnsi="Arial"/>
                <w:b/>
                <w:color w:val="52514E"/>
                <w:sz w:val="18"/>
              </w:rPr>
              <w:t>Medium</w:t>
            </w:r>
          </w:p>
        </w:tc>
        <w:tc>
          <w:tcPr>
            <w:tcW w:type="dxa" w:w="5328"/>
            <w:shd w:val="clear" w:color="auto" w:fill="F2F5F7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On the tested category page, 4 product images have no alt attribute — an accessibility and image-search issue.</w:t>
            </w:r>
          </w:p>
        </w:tc>
      </w:tr>
      <w:tr>
        <w:tc>
          <w:tcPr>
            <w:tcW w:type="dxa" w:w="3168"/>
            <w:shd w:val="clear" w:color="auto" w:fill="E8F5EF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Robots.txt and sitemap are correctly configured</w:t>
            </w:r>
          </w:p>
        </w:tc>
        <w:tc>
          <w:tcPr>
            <w:tcW w:type="dxa" w:w="1296"/>
            <w:shd w:val="clear" w:color="auto" w:fill="E8F5EF"/>
          </w:tcPr>
          <w:p>
            <w:r>
              <w:rPr>
                <w:rFonts w:ascii="Arial" w:hAnsi="Arial"/>
                <w:b/>
                <w:color w:val="009B66"/>
                <w:sz w:val="18"/>
              </w:rPr>
              <w:t>Passing</w:t>
            </w:r>
          </w:p>
        </w:tc>
        <w:tc>
          <w:tcPr>
            <w:tcW w:type="dxa" w:w="5328"/>
            <w:shd w:val="clear" w:color="auto" w:fill="E8F5EF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robots.txt blocks only CMS/system paths (Umbraco) and correctly declares the sitemap at /sitemapxml/. No accidental blocking of product pages found.</w:t>
            </w:r>
          </w:p>
        </w:tc>
      </w:tr>
      <w:tr>
        <w:tc>
          <w:tcPr>
            <w:tcW w:type="dxa" w:w="3168"/>
            <w:shd w:val="clear" w:color="auto" w:fill="E8F5EF"/>
          </w:tcPr>
          <w:p>
            <w:r>
              <w:rPr>
                <w:rFonts w:ascii="Arial" w:hAnsi="Arial"/>
                <w:b/>
                <w:color w:val="0C1114"/>
                <w:sz w:val="18"/>
              </w:rPr>
              <w:t>Single, clear H1 and mobile viewport on category pages</w:t>
            </w:r>
          </w:p>
        </w:tc>
        <w:tc>
          <w:tcPr>
            <w:tcW w:type="dxa" w:w="1296"/>
            <w:shd w:val="clear" w:color="auto" w:fill="E8F5EF"/>
          </w:tcPr>
          <w:p>
            <w:r>
              <w:rPr>
                <w:rFonts w:ascii="Arial" w:hAnsi="Arial"/>
                <w:b/>
                <w:color w:val="009B66"/>
                <w:sz w:val="18"/>
              </w:rPr>
              <w:t>Passing</w:t>
            </w:r>
          </w:p>
        </w:tc>
        <w:tc>
          <w:tcPr>
            <w:tcW w:type="dxa" w:w="5328"/>
            <w:shd w:val="clear" w:color="auto" w:fill="E8F5EF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The tested category page has exactly one H1 (“Hire Cutting, Sawing and Grinding Tools and Equipment”) and a correct responsive viewport meta tag.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0C1114"/>
          <w:sz w:val="26"/>
        </w:rPr>
        <w:t>What I’d prioritise first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1. Fix empty Open Graph tags. </w:t>
      </w:r>
      <w:r>
        <w:rPr>
          <w:rFonts w:ascii="Arial" w:hAnsi="Arial"/>
          <w:sz w:val="21"/>
        </w:rPr>
        <w:t xml:space="preserve"> — highest-leverage single fix: restores social-share previews on every product page, likely a CMS template fix rather than a content rewrite.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2. Add structured data. </w:t>
      </w:r>
      <w:r>
        <w:rPr>
          <w:rFonts w:ascii="Arial" w:hAnsi="Arial"/>
          <w:sz w:val="21"/>
        </w:rPr>
        <w:t xml:space="preserve"> — LocalBusiness schema (depot addresses, service areas, opening hours) is the single highest-ROI addition given the same-day-delivery, multi-depot positioning — it directly targets local-intent search where the national chains’ broad-match strength matters less.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3. Fix the homepage heading structure. </w:t>
      </w:r>
      <w:r>
        <w:rPr>
          <w:rFonts w:ascii="Arial" w:hAnsi="Arial"/>
          <w:sz w:val="21"/>
        </w:rPr>
        <w:t xml:space="preserve"> — demote the feature-card headings to h2/h3 so the page has one clear topical signal.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4. Invest in long-tail category + location content. </w:t>
      </w:r>
      <w:r>
        <w:rPr>
          <w:rFonts w:ascii="Arial" w:hAnsi="Arial"/>
          <w:sz w:val="21"/>
        </w:rPr>
        <w:t xml:space="preserve"> — Brandon Hire Station’s longtail dominance and the sector-wide organic traffic decline both point the same way: a content push aimed at long-tail, location-specific search terms is winnable right now, while the majors are flat or declining on this channel.</w:t>
      </w:r>
    </w:p>
    <w:p>
      <w:pPr>
        <w:spacing w:before="40" w:after="200"/>
        <w:pBdr>
          <w:bottom w:val="single" w:sz="6" w:space="1" w:color="D9D9D9"/>
        </w:pBdr>
      </w:pPr>
    </w:p>
    <w:p>
      <w:pPr>
        <w:spacing w:after="40"/>
      </w:pPr>
      <w:r>
        <w:rPr>
          <w:rFonts w:ascii="Arial" w:hAnsi="Arial"/>
          <w:b w:val="0"/>
          <w:i/>
          <w:color w:val="52514E"/>
          <w:sz w:val="18"/>
        </w:rPr>
        <w:t>Sources: sector competitor data and Q1 2026 digital marketing benchmarks via public web research (Clickthrough Marketing UK Tool &amp; Equipment Hire report, Q1 2026; industry competitor profiles). SEO findings are a direct, live check against cityhire.co.uk on 15 July 2026, not a template checklist.</w:t>
      </w:r>
    </w:p>
    <w:p>
      <w:pPr>
        <w:spacing w:after="120"/>
      </w:pPr>
      <w:r>
        <w:rPr>
          <w:rFonts w:ascii="Arial" w:hAnsi="Arial"/>
          <w:b w:val="0"/>
          <w:i w:val="0"/>
          <w:color w:val="52514E"/>
          <w:sz w:val="19"/>
        </w:rPr>
        <w:t>Anthony Apollis — anthony.apollis@gmail.com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