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pStyle w:val="Heading2"/>
        <w:keepNext/>
        <w:keepLines/>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Heading1"/>
        <w:pageBreakBefore/>
        <w:spacing w:after="200" w:before="400"/>
      </w:pPr>
      <w:r>
        <w:t xml:space="preserve">Exercise 1 — Payment Gateway Reconciliation</w:t>
      </w:r>
    </w:p>
    <w:p>
      <w:pPr>
        <w:spacing w:after="60"/>
      </w:pPr>
      <w:r>
        <w:rPr>
          <w:b/>
          <w:bCs/>
          <w:color w:val="0E7C7B"/>
          <w:sz w:val="26"/>
          <w:szCs w:val="26"/>
        </w:rPr>
        <w:t xml:space="preserve">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bridge from our R218,280.00 to the gateway's R217,979.97 leaves R0.00 unexplained. Two of its timing lines are provisional until the adjacent weeks' files confirm them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pageBreakBefore/>
      </w:pPr>
      <w:r>
        <w:t xml:space="preserve">Supporting detail</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3"/>
        <w:keepNext/>
        <w:keepLines/>
        <w:spacing w:after="100" w:before="2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and of the independent row-by-row check.</w:t>
      </w:r>
    </w:p>
    <w:p>
      <w:pPr>
        <w:pStyle w:val="Heading3"/>
        <w:keepNext/>
        <w:keepLines/>
        <w:spacing w:after="100" w:before="200"/>
      </w:pPr>
      <w:r>
        <w:t xml:space="preserve">Exceptions by category</w:t>
      </w:r>
    </w:p>
    <w:tbl>
      <w:tblPr>
        <w:tblW w:type="dxa" w:w="8060"/>
        <w:tblBorders>
          <w:top w:val="single" w:color="auto" w:sz="4"/>
          <w:left w:val="single" w:color="auto" w:sz="4"/>
          <w:bottom w:val="single" w:color="auto" w:sz="4"/>
          <w:right w:val="single" w:color="auto" w:sz="4"/>
          <w:insideH w:val="single" w:color="auto" w:sz="4"/>
          <w:insideV w:val="single" w:color="auto" w:sz="4"/>
        </w:tblBorders>
      </w:tblPr>
      <w:tblGrid>
        <w:gridCol w:w="3700"/>
        <w:gridCol w:w="1900"/>
        <w:gridCol w:w="700"/>
        <w:gridCol w:w="176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76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760"/>
            <w:tcMar>
              <w:top w:type="dxa" w:w="60"/>
              <w:left w:type="dxa" w:w="100"/>
              <w:bottom w:type="dxa" w:w="60"/>
              <w:right w:type="dxa" w:w="100"/>
            </w:tcMar>
            <w:vAlign w:val="center"/>
          </w:tcPr>
          <w:p>
            <w:pPr>
              <w:jc w:val="left"/>
            </w:pPr>
            <w:r>
              <w:rPr>
                <w:b w:val="false"/>
                <w:bCs w:val="false"/>
                <w:sz w:val="19"/>
                <w:szCs w:val="19"/>
              </w:rPr>
              <w:t xml:space="preserve">250.00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76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1900"/>
            <w:tcMar>
              <w:top w:type="dxa" w:w="60"/>
              <w:left w:type="dxa" w:w="100"/>
              <w:bottom w:type="dxa" w:w="60"/>
              <w:right w:type="dxa" w:w="100"/>
            </w:tcMar>
            <w:vAlign w:val="center"/>
          </w:tcPr>
          <w:p>
            <w:pPr>
              <w:jc w:val="left"/>
            </w:pPr>
            <w:r>
              <w:rPr>
                <w:b w:val="false"/>
                <w:bCs w:val="false"/>
                <w:sz w:val="19"/>
                <w:szCs w:val="19"/>
              </w:rPr>
              <w:t xml:space="preserve">Break — dedupe</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760"/>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Business event</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1900"/>
            <w:tcMar>
              <w:top w:type="dxa" w:w="60"/>
              <w:left w:type="dxa" w:w="100"/>
              <w:bottom w:type="dxa" w:w="60"/>
              <w:right w:type="dxa" w:w="100"/>
            </w:tcMar>
            <w:vAlign w:val="center"/>
          </w:tcPr>
          <w:p>
            <w:pPr>
              <w:jc w:val="left"/>
            </w:pPr>
            <w:r>
              <w:rPr>
                <w:b w:val="false"/>
                <w:bCs w:val="false"/>
                <w:sz w:val="19"/>
                <w:szCs w:val="19"/>
              </w:rPr>
              <w:t xml:space="preserve">Timing / possible break</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76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Timing — provisional</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1900"/>
            <w:tcMar>
              <w:top w:type="dxa" w:w="60"/>
              <w:left w:type="dxa" w:w="100"/>
              <w:bottom w:type="dxa" w:w="60"/>
              <w:right w:type="dxa" w:w="100"/>
            </w:tcMar>
            <w:vAlign w:val="center"/>
          </w:tcPr>
          <w:p>
            <w:pPr>
              <w:jc w:val="left"/>
            </w:pPr>
            <w:r>
              <w:rPr>
                <w:b w:val="false"/>
                <w:bCs w:val="false"/>
                <w:sz w:val="19"/>
                <w:szCs w:val="19"/>
              </w:rPr>
              <w:t xml:space="preserve">Timing — provisional</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190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76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bl>
    <w:p>
      <w:pPr>
        <w:spacing w:after="160"/>
      </w:pPr>
      <w:r>
        <w:rPr>
          <w:i/>
          <w:iCs/>
          <w:color w:val="595959"/>
          <w:sz w:val="18"/>
          <w:szCs w:val="18"/>
        </w:rPr>
        <w:t xml:space="preserve">* The deposit and settlement amounts match on these rows, so the row-level impact is 0. The real cost is the duplicate itself: a double-credit risk, or a disputed double settlement. The bridge accounts for each separately. A dbt test (assert_recon_bridge_reconciles) fails the build if the bridge residual is ever not exactly zero.</w:t>
      </w:r>
    </w:p>
    <w:p>
      <w:pPr>
        <w:pStyle w:val="Heading3"/>
        <w:keepNext/>
        <w:keepLines/>
        <w:spacing w:after="100" w:before="200"/>
      </w:pPr>
      <w:r>
        <w:t xml:space="preserve">How the figures were checked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3"/>
        <w:keepNext/>
        <w:keepLines/>
        <w:spacing w:after="100" w:before="2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urllib only — no HTTP framework dependency), MySQL 8.0 for the checkpoint/ledger tables, Postman/Newman for exercising and documenting the API contract.</w:t>
      </w:r>
    </w:p>
    <w:p>
      <w:pPr>
        <w:pStyle w:val="Heading2"/>
        <w:keepNext/>
        <w:keepLines/>
        <w:spacing w:after="150" w:before="300"/>
      </w:pPr>
      <w:r>
        <w:t xml:space="preserve">Design</w:t>
      </w:r>
    </w:p>
    <w:p>
      <w:pPr>
        <w:pStyle w:val="ListParagraph"/>
        <w:numPr>
          <w:ilvl w:val="0"/>
          <w:numId w:val="2"/>
        </w:numPr>
        <w:spacing w:after="80"/>
      </w:pPr>
      <w:r>
        <w:t xml:space="preserve">Progress lives in MySQL (ingest_checkpoint), not memory or a local file, so any process on any host can resume it. Each run resumes from updated_since = last processed updated_at (inclusive), then paginates within the run via the server's cursor.</w:t>
      </w:r>
    </w:p>
    <w:p>
      <w:pPr>
        <w:pStyle w:val="ListParagraph"/>
        <w:numPr>
          <w:ilvl w:val="0"/>
          <w:numId w:val="2"/>
        </w:numPr>
        <w:spacing w:after="80"/>
      </w:pPr>
      <w:r>
        <w:t xml:space="preserve">Every write is an upsert (INSERT … ON DUPLICATE KEY UPDATE) keyed on the provider's id — replaying a page is always safe. The data upsert, the reject-quarantine insert, the checkpoint update, and the run counters are committed together in one transaction per page.</w:t>
      </w:r>
    </w:p>
    <w:p>
      <w:pPr>
        <w:pStyle w:val="ListParagraph"/>
        <w:numPr>
          <w:ilvl w:val="0"/>
          <w:numId w:val="2"/>
        </w:numPr>
        <w:spacing w:after="80"/>
      </w:pPr>
      <w:r>
        <w:t xml:space="preserve">429 (rate limited): sleep for Retry-After, retry the same request. 500 / network errors: exponential backoff. Bad records (unparseable amount, missing player_id): quarantined with the reason and the full raw JSON — never silently dropped.</w:t>
      </w:r>
    </w:p>
    <w:p>
      <w:pPr>
        <w:pStyle w:val="ListParagraph"/>
        <w:numPr>
          <w:ilvl w:val="0"/>
          <w:numId w:val="2"/>
        </w:numPr>
        <w:spacing w:after="80"/>
      </w:pPr>
      <w:r>
        <w:t xml:space="preserve">Every run writes one row to ingest_runs: pages fetched, rows upserted/rejected, 429/500 counts, status. A run stuck RUNNING past one scheduling interval is the signal a stale-run monitor pages on.</w:t>
      </w:r>
    </w:p>
    <w:p>
      <w:pPr>
        <w:pStyle w:val="Heading2"/>
        <w:keepNext/>
        <w:keepLines/>
        <w:spacing w:after="150" w:before="300"/>
      </w:pPr>
      <w:r>
        <w:t xml:space="preserve">Evidence: kill, restart, new activity</w:t>
      </w:r>
    </w:p>
    <w:p>
      <w:pPr>
        <w:spacing w:after="160"/>
      </w:pPr>
      <w:r>
        <w:t xml:space="preserve">The process was started with a small page size and an artificial pre-commit delay, then killed with SIGKILL mid-page — a hard crash, not a graceful shutdown.</w:t>
      </w:r>
    </w:p>
    <w:p>
      <w:pPr>
        <w:spacing w:before="200"/>
        <w:jc w:val="center"/>
      </w:pPr>
      <w:r>
        <w:drawing>
          <wp:inline distT="0" distB="0" distL="0" distR="0">
            <wp:extent cx="5334000" cy="4667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67250"/>
                    </a:xfrm>
                    <a:prstGeom prst="rect">
                      <a:avLst/>
                    </a:prstGeom>
                  </pic:spPr>
                </pic:pic>
              </a:graphicData>
            </a:graphic>
          </wp:inline>
        </w:drawing>
      </w:r>
    </w:p>
    <w:p>
      <w:pPr>
        <w:spacing w:after="300" w:before="80"/>
        <w:jc w:val="center"/>
      </w:pPr>
      <w:r>
        <w:rPr>
          <w:i/>
          <w:iCs/>
          <w:color w:val="595959"/>
          <w:sz w:val="20"/>
          <w:szCs w:val="20"/>
        </w:rPr>
        <w:t xml:space="preserve">Actual terminal output: kill mid-page → restart → complete → simulate new provider activity → rerun.</w:t>
      </w:r>
    </w:p>
    <w:p>
      <w:pPr>
        <w:spacing w:after="160"/>
      </w:pPr>
      <w:r>
        <w:t xml:space="preserve">Result: 50 rows committed before the kill (exactly page 1 — page 2 never landed), the run left visibly RUNNING (the stale-run signal), and a clean restart resumed correctly with zero duplicates and zero missing rows. After simulating new activity (POST /admin/advance), a rerun correctly picked up 40 changed records and 25 new ones — including a live 429 that was retried automatically.</w:t>
      </w:r>
    </w:p>
    <w:p>
      <w:pPr>
        <w:pStyle w:val="Heading2"/>
        <w:keepNext/>
        <w:keepLines/>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 directly in Postman's Test Results panel.</w:t>
      </w:r>
    </w:p>
    <w:p>
      <w:pPr>
        <w:spacing w:before="200"/>
        <w:jc w:val="center"/>
      </w:pPr>
      <w:r>
        <w:drawing>
          <wp:inline distT="0" distB="0" distL="0" distR="0">
            <wp:extent cx="5334000" cy="3752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 5 requests, 10/10 assertions passing.</w:t>
      </w:r>
    </w:p>
    <w:p>
      <w:pPr>
        <w:pStyle w:val="Heading2"/>
        <w:keepNext/>
        <w:keepLines/>
        <w:spacing w:after="150" w:before="300"/>
      </w:pPr>
      <w:r>
        <w:t xml:space="preserve">Live run — Postman Desktop against the local mock API</w:t>
      </w:r>
    </w:p>
    <w:p>
      <w:pPr>
        <w:spacing w:after="160"/>
      </w:pPr>
      <w:r>
        <w:t xml:space="preserve">The same collection was then imported into Postman Desktop on a Windows workstation and run against mock_api.py started from PyCharm — an independent environment from the one the code was built in.</w:t>
      </w:r>
    </w:p>
    <w:p>
      <w:pPr>
        <w:spacing w:before="200"/>
        <w:jc w:val="center"/>
      </w:pPr>
      <w:r>
        <w:drawing>
          <wp:inline distT="0" distB="0" distL="0" distR="0">
            <wp:extent cx="57150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spacing w:before="200"/>
        <w:jc w:val="center"/>
      </w:pPr>
      <w:r>
        <w:drawing>
          <wp:inline distT="0" distB="0" distL="0" distR="0">
            <wp:extent cx="4381500" cy="3000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spacing w:before="200"/>
        <w:jc w:val="center"/>
      </w:pPr>
      <w:r>
        <w:drawing>
          <wp:inline distT="0" distB="0" distL="0" distR="0">
            <wp:extent cx="4572000" cy="3790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(the API's documented in-page duplicate); page 4 hits a live 500 and retries the same page.</w:t>
      </w:r>
    </w:p>
    <w:p>
      <w:pPr>
        <w:spacing w:before="200"/>
        <w:jc w:val="center"/>
      </w:pPr>
      <w:r>
        <w:drawing>
          <wp:inline distT="0" distB="0" distL="0" distR="0">
            <wp:extent cx="4572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records returned by the API: 1,027 across 6 pages.</w:t>
      </w:r>
    </w:p>
    <w:p>
      <w:pPr>
        <w:spacing w:after="160"/>
      </w:pPr>
      <w:r>
        <w:t xml:space="preserve">The run reports 16 of 18 assertions passing. The two failures are on request 2 ("Next page"), a one-shot documentation request with no retry logic, which happened to land on the mock API's injected 429. Only the counting request carries retry handling. That is by design, and it shows why the ingestion program retries every call.</w:t>
      </w:r>
    </w:p>
    <w:p>
      <w:pPr>
        <w:spacing w:after="160"/>
      </w:pPr>
      <w:r>
        <w:t xml:space="preserve">Why 1,027 rather than 1,025: the runner executes /admin/advance (request 5) before the count, so the dataset is already 1,025 records; the extra rows are the API's deliberate in-page duplicates, counted raw here. ingest.py deduplicates them, which is why its loaded row count is lower than the raw count.</w:t>
      </w:r>
    </w:p>
    <w:p>
      <w:pPr>
        <w:pStyle w:val="Heading2"/>
        <w:keepNext/>
        <w:keepLines/>
        <w:spacing w:after="150" w:before="300"/>
      </w:pPr>
      <w:r>
        <w:t xml:space="preserve">What I'd change for production</w:t>
      </w:r>
    </w:p>
    <w:p>
      <w:pPr>
        <w:pStyle w:val="ListParagraph"/>
        <w:numPr>
          <w:ilvl w:val="0"/>
          <w:numId w:val="2"/>
        </w:numPr>
        <w:spacing w:after="80"/>
      </w:pPr>
      <w:r>
        <w:t xml:space="preserve">A managed scheduler (Airflow / cron+systemd) with a concurrency lock, so two overlapping runs can't race.</w:t>
      </w:r>
    </w:p>
    <w:p>
      <w:pPr>
        <w:pStyle w:val="ListParagraph"/>
        <w:numPr>
          <w:ilvl w:val="0"/>
          <w:numId w:val="2"/>
        </w:numPr>
        <w:spacing w:after="80"/>
      </w:pPr>
      <w:r>
        <w:t xml:space="preserve">Secrets (API key, DB credentials) out of source and into a secrets manager.</w:t>
      </w:r>
    </w:p>
    <w:p>
      <w:pPr>
        <w:pStyle w:val="ListParagraph"/>
        <w:numPr>
          <w:ilvl w:val="0"/>
          <w:numId w:val="2"/>
        </w:numPr>
        <w:spacing w:after="80"/>
      </w:pPr>
      <w:r>
        <w:t xml:space="preserve">Page on FAILED runs, a stale RUNNING row, or a rejects-rate spike (usually a schema change, not random dirty data).</w:t>
      </w:r>
    </w:p>
    <w:p>
      <w:pPr>
        <w:pStyle w:val="ListParagraph"/>
        <w:numPr>
          <w:ilvl w:val="0"/>
          <w:numId w:val="2"/>
        </w:numPr>
        <w:spacing w:after="80"/>
      </w:pPr>
      <w:r>
        <w:t xml:space="preserve">At real volume: staging-table + bulk MERGE instead of row-by-row upserts; partition by date; multiple workers on disjoint id ranges if one API key's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MySQL 8.0 for the schema (cross-verified against MariaDB 10.11), Mermaid for the ERD, dbt for the reporting-model mapping.</w:t>
      </w:r>
    </w:p>
    <w:p>
      <w:pPr>
        <w:pStyle w:val="Heading2"/>
        <w:keepNext/>
        <w:keepLines/>
        <w:spacing w:after="150" w:before="300"/>
      </w:pPr>
      <w:r>
        <w:t xml:space="preserve">Entity-relationship diagram</w:t>
      </w:r>
    </w:p>
    <w:p>
      <w:pPr>
        <w:spacing w:before="200"/>
        <w:jc w:val="center"/>
      </w:pPr>
      <w:r>
        <w:drawing>
          <wp:inline distT="0" distB="0" distL="0" distR="0">
            <wp:extent cx="5905500" cy="5162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162550"/>
                    </a:xfrm>
                    <a:prstGeom prst="rect">
                      <a:avLst/>
                    </a:prstGeom>
                  </pic:spPr>
                </pic:pic>
              </a:graphicData>
            </a:graphic>
          </wp:inline>
        </w:drawing>
      </w:r>
    </w:p>
    <w:p>
      <w:pPr>
        <w:spacing w:after="300" w:before="80"/>
        <w:jc w:val="center"/>
      </w:pPr>
      <w:r>
        <w:rPr>
          <w:i/>
          <w:iCs/>
          <w:color w:val="595959"/>
          <w:sz w:val="20"/>
          <w:szCs w:val="20"/>
        </w:rPr>
        <w:t xml:space="preserve">23-table operational schema — full DDL in exercise3-schema-design/ddl.sql, verified to run clean on both MySQL 8.0 and MariaDB 10.11.</w:t>
      </w:r>
    </w:p>
    <w:p>
      <w:pPr>
        <w:pStyle w:val="Heading2"/>
        <w:keepNext/>
        <w:keepLines/>
        <w:spacing w:after="150" w:before="300"/>
      </w:pPr>
      <w:r>
        <w:t xml:space="preserve">Design principles</w:t>
      </w:r>
    </w:p>
    <w:p>
      <w:pPr>
        <w:pStyle w:val="Heading3"/>
        <w:keepNext/>
        <w:keepLines/>
        <w:spacing w:after="100" w:before="200"/>
      </w:pPr>
      <w:r>
        <w:t xml:space="preserve">Money and time</w:t>
      </w:r>
    </w:p>
    <w:p>
      <w:pPr>
        <w:spacing w:after="160"/>
      </w:pPr>
      <w:r>
        <w:t xml:space="preserve">DECIMAL(18,4) everywhere a balance or amount is stored — never FLOAT/DOUBLE. DATETIME(6), always UTC, columns suffixed _at_utc; MySQL's TIMESTAMP is deliberately avoided because it silently converts using the session/server time zone.</w:t>
      </w:r>
    </w:p>
    <w:p>
      <w:pPr>
        <w:pStyle w:val="Heading3"/>
        <w:keepNext/>
        <w:keepLines/>
        <w:spacing w:after="100" w:before="200"/>
      </w:pPr>
      <w:r>
        <w:t xml:space="preserve">Balance correctness</w:t>
      </w:r>
    </w:p>
    <w:p>
      <w:pPr>
        <w:spacing w:after="160"/>
      </w:pPr>
      <w:r>
        <w:t xml:space="preserve">wallets.real_balance / bonus_balance are a materialised cache, not the source of truth — wallet_transactions (an append-only ledger) is. A balance at any point in time is SUM(credit) − SUM(debit) up to that moment, proven directly by example query (c) below. Corrections and reversals are new rows referencing the original (reversal_of_wallet_txn_id), never edits; every row carries a deterministic idempotency_key so replaying an event can never double-post it. A dbt test (assert_wallet_cache_matches_ledger) fails the build if the cache ever disagrees with the ledger.</w:t>
      </w:r>
    </w:p>
    <w:p>
      <w:pPr>
        <w:pStyle w:val="Heading3"/>
        <w:keepNext/>
        <w:keepLines/>
        <w:spacing w:after="100" w:before="200"/>
      </w:pPr>
      <w:r>
        <w:t xml:space="preserve">History over time</w:t>
      </w:r>
    </w:p>
    <w:p>
      <w:pPr>
        <w:spacing w:after="160"/>
      </w:pPr>
      <w:r>
        <w:t xml:space="preserve">player_vip_tier_history and player_tag_history are SCD Type 2 (a new row per change, valid_from/valid_to), so "what tier was this player on 3 September" is answerable, not just "what tier are they now".</w:t>
      </w:r>
    </w:p>
    <w:p>
      <w:pPr>
        <w:pStyle w:val="Heading3"/>
        <w:keepNext/>
        <w:keepLines/>
        <w:spacing w:after="100" w:before="200"/>
      </w:pPr>
      <w:r>
        <w:t xml:space="preserve">Protecting personal information</w:t>
      </w:r>
    </w:p>
    <w:p>
      <w:pPr>
        <w:spacing w:after="160"/>
      </w:pPr>
      <w:r>
        <w:t xml:space="preserve">player_identity is a separate table, joined only by player_id — every other table (bets, wallet transactions, bonuses) never sees a name or ID number. In production: application-layer encryption on sensitive fields, a dedicated low-privilege DB role, and every read of the identity table logged.</w:t>
      </w:r>
    </w:p>
    <w:p>
      <w:pPr>
        <w:pStyle w:val="Heading2"/>
        <w:keepNext/>
        <w:keepLines/>
        <w:spacing w:after="150" w:before="300"/>
      </w:pPr>
      <w:r>
        <w:t xml:space="preserve">The four required queries — verified output</w:t>
      </w:r>
    </w:p>
    <w:p>
      <w:pPr>
        <w:spacing w:after="160"/>
      </w:pPr>
      <w:r>
        <w:t xml:space="preserve">Run against the seed data in exercise3-schema-design/seed.sql; identical results on MySQL 8.0 and MariaDB 10.11.</w:t>
      </w:r>
    </w:p>
    <w:p>
      <w:pPr>
        <w:spacing w:before="200"/>
        <w:jc w:val="center"/>
      </w:pPr>
      <w:r>
        <w:drawing>
          <wp:inline distT="0" distB="0" distL="0" distR="0">
            <wp:extent cx="5334000" cy="1314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14450"/>
                    </a:xfrm>
                    <a:prstGeom prst="rect">
                      <a:avLst/>
                    </a:prstGeom>
                  </pic:spPr>
                </pic:pic>
              </a:graphicData>
            </a:graphic>
          </wp:inline>
        </w:drawing>
      </w:r>
    </w:p>
    <w:p>
      <w:pPr>
        <w:spacing w:after="300" w:before="80"/>
        <w:jc w:val="center"/>
      </w:pPr>
      <w:r>
        <w:rPr>
          <w:i/>
          <w:iCs/>
          <w:color w:val="595959"/>
          <w:sz w:val="20"/>
          <w:szCs w:val="20"/>
        </w:rPr>
        <w:t xml:space="preserve">mysql -- jsb_platform -- example_queries.sql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sportsbook -160.00 · casino -30.00 · retail 100.00 (NAD)</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-27.78% (matches the dbt mart's independently-computed figure exactly)</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given date/time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Reconstructed purely from the ledger (SUM), not a stored column — proves the design</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later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Self-join on deposit_attempts finds the failed→success pair, 4 minutes apart</w:t>
            </w:r>
          </w:p>
        </w:tc>
      </w:tr>
    </w:tbl>
    <w:p>
      <w:pPr>
        <w:pStyle w:val="Heading2"/>
        <w:keepNext/>
        <w:keepLines/>
        <w:spacing w:after="150" w:before="300"/>
      </w:pPr>
      <w:r>
        <w:t xml:space="preserve">Operational design → reporting model</w:t>
      </w:r>
    </w:p>
    <w:p>
      <w:pPr>
        <w:spacing w:after="160"/>
      </w:pPr>
      <w:r>
        <w:t xml:space="preserve">A dbt project (dbt_jsb_assessment/) builds a star schema on top of this operational design: conformed dimensions (dim_player, dim_date, dim_campaign — dim_player_vip_tier_scd carries the same Type-2 history pattern through to the reporting layer) surrounding grain-specific facts (fact_bet, fact_wallet_transaction, fact_bonus_transaction). Two reusable marts answer queries (a) and (b) directly, and — extended during this review — the project now also covers Exercise 1's reconciliation as a scheduled, tested model.</w:t>
      </w:r>
    </w:p>
    <w:p>
      <w:pPr>
        <w:spacing w:before="200"/>
        <w:jc w:val="center"/>
      </w:pPr>
      <w:r>
        <w:drawing>
          <wp:inline distT="0" distB="0" distL="0" distR="0">
            <wp:extent cx="4191000" cy="4686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4686300"/>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67/67 pass (23 models, 44 tests), 0 errors.</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20 DAX measures,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spacing w:before="200"/>
        <w:jc w:val="center"/>
      </w:pPr>
      <w:r>
        <w:drawing>
          <wp:inline distT="0" distB="0" distL="0" distR="0">
            <wp:extent cx="5715000" cy="3171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71825"/>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staked on bets that lost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Granted amount of resolved bonuses,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Granted amount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-70.00 / 20.00 / -90.00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sportsbook -160.00 · casino -30.00 · retail 100.00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25.00 / -27.78%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1,190.00 · Player 2: 400.00 · Player 3: 100.00 real + 30.00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3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How it was verified</w:t>
      </w:r>
    </w:p>
    <w:p>
      <w:pPr>
        <w:spacing w:after="160"/>
      </w:pPr>
      <w:r>
        <w:t xml:space="preserve">Power BI Desktop doesn't run in the Linux environment this was built in. Instead, the build script checks that every visual field, sort and DAX reference resolves to the model, that every CSV's columns match the model, that every relationship column exists, and that no filter path is ambiguous. A negative test confirmed it rejects an ambiguous relationship and a misspelled measure. The report layout follows the supplied Demo.pbix (Power BI Desktop 2.130, CY24SU06 theme).</w:t>
      </w:r>
    </w:p>
    <w:p>
      <w:pPr>
        <w:spacing w:after="160"/>
      </w:pPr>
      <w:r>
        <w:t xml:space="preserve">Power BI Desktop has since opened an earlier version of this project on a Windows machine: the pages and visuals loaded. The one failure was that the data folder path didn't exist on that machine, and embedding the data removes that step. If Desktop objects to the project for any other reason,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56653963497af00fd40365aeec5d3b9bc606eab2.png"/><Relationship Id="rId12" Type="http://schemas.openxmlformats.org/officeDocument/2006/relationships/image" Target="media/08c58c085ee4cbb2bbc26fc406d6b7076867c36c.png"/><Relationship Id="rId13" Type="http://schemas.openxmlformats.org/officeDocument/2006/relationships/image" Target="media/6d89d9e329f98d50be96fdb91ddad135d770bbe1.png"/><Relationship Id="rId14" Type="http://schemas.openxmlformats.org/officeDocument/2006/relationships/image" Target="media/53a72257a419195c2d97576756b95b087abbfd40.png"/><Relationship Id="rId15" Type="http://schemas.openxmlformats.org/officeDocument/2006/relationships/image" Target="media/453dd104a204b746061d811de5059b590a9ba1cf.png"/><Relationship Id="rId16" Type="http://schemas.openxmlformats.org/officeDocument/2006/relationships/image" Target="media/9b839846d33c8692235386e4fec6c859cecb4fc3.png"/><Relationship Id="rId17" Type="http://schemas.openxmlformats.org/officeDocument/2006/relationships/image" Target="media/9f85b9b2a2d523c3dc36760691fc9bcc51df3cd1.png"/><Relationship Id="rId18" Type="http://schemas.openxmlformats.org/officeDocument/2006/relationships/image" Target="media/50490fcbe36b79bda675d8b49b1ea838a4b25985.png"/><Relationship Id="rId19" Type="http://schemas.openxmlformats.org/officeDocument/2006/relationships/image" Target="media/c7d1a5b4d83cceeddb7208b0f55cc1f08f595807.png"/><Relationship Id="rId20" Type="http://schemas.openxmlformats.org/officeDocument/2006/relationships/image" Target="media/6c7a82b17e6e8404f3f4ee3d1854b527a509293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2026-09-28T19:06:40.773Z</dcterms:created>
  <dcterms:modified xsi:type="dcterms:W3CDTF">2026-09-28T19:06:40.773Z</dcterms:modified>
</cp:coreProperties>
</file>

<file path=docProps/custom.xml><?xml version="1.0" encoding="utf-8"?>
<Properties xmlns="http://schemas.openxmlformats.org/officeDocument/2006/custom-properties" xmlns:vt="http://schemas.openxmlformats.org/officeDocument/2006/docPropsVTypes"/>
</file>