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0"/>
          <w:szCs w:val="30"/>
        </w:rPr>
        <w:t xml:space="preserve">Payment gateway reconciliation — Finance Manager summary</w:t>
      </w:r>
    </w:p>
    <w:p>
      <w:pPr>
        <w:spacing w:after="60"/>
      </w:pPr>
      <w:r>
        <w:rPr>
          <w:i/>
          <w:iCs/>
          <w:color w:val="595959"/>
          <w:sz w:val="18"/>
          <w:szCs w:val="18"/>
        </w:rPr>
        <w:t xml:space="preserve">Week 1–7 September 2026 (UTC) · NAD · internal_deposits (326 rows) vs gateway_settlement (306 rows)</w:t>
      </w:r>
    </w:p>
    <w:p>
      <w:pPr>
        <w:spacing w:after="80"/>
      </w:pPr>
      <w:r>
        <w:rPr>
          <w:b/>
          <w:bCs/>
          <w:sz w:val="20"/>
          <w:szCs w:val="20"/>
        </w:rPr>
        <w:t xml:space="preserve">274 of 306 gateway settlements (90%) match exactly </w:t>
      </w:r>
      <w:r>
        <w:rPr>
          <w:sz w:val="20"/>
          <w:szCs w:val="20"/>
        </w:rPr>
        <w:t xml:space="preserve">on reference, gross, fee and net. The bridge from our R218,280.00 to the gateway's R217,979.97 leaves R0.00 unexplained. Two of its timing lines are provisional until the adjacent weeks' files confirm them (see assumptions).</w:t>
      </w:r>
    </w:p>
    <w:p>
      <w:pPr>
        <w:spacing w:after="60" w:before="140"/>
      </w:pPr>
      <w:r>
        <w:rPr>
          <w:b/>
          <w:bCs/>
          <w:color w:val="0E7C7B"/>
          <w:sz w:val="22"/>
          <w:szCs w:val="22"/>
        </w:rPr>
        <w:t xml:space="preserve">Bridge on gross amounts: internal total → gateway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Mar>
              <w:top w:type="dxa" w:w="25"/>
              <w:left w:type="dxa" w:w="90"/>
              <w:bottom w:type="dxa" w:w="25"/>
              <w:right w:type="dxa" w:w="90"/>
            </w:tcMar>
            <w:vAlign w:val="center"/>
          </w:tcPr>
          <w:p>
            <w:r>
              <w:rPr>
                <w:b/>
                <w:bCs/>
                <w:color w:val="FFFFFF"/>
                <w:sz w:val="18"/>
                <w:szCs w:val="18"/>
              </w:rPr>
              <w:t xml:space="preserve">Line</w:t>
            </w:r>
          </w:p>
        </w:tc>
        <w:tc>
          <w:tcPr>
            <w:tcW w:type="dxa" w:w="2000"/>
            <w:shd w:fill="1F3864" w:val="clear"/>
            <w:tcMar>
              <w:top w:type="dxa" w:w="25"/>
              <w:left w:type="dxa" w:w="90"/>
              <w:bottom w:type="dxa" w:w="25"/>
              <w:right w:type="dxa" w:w="90"/>
            </w:tcMar>
            <w:vAlign w:val="center"/>
          </w:tcPr>
          <w:p>
            <w:r>
              <w:rPr>
                <w:b/>
                <w:bCs/>
                <w:color w:val="FFFFFF"/>
                <w:sz w:val="18"/>
                <w:szCs w:val="18"/>
              </w:rPr>
              <w:t xml:space="preserve">NAD</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Internal SUCCESS deposits, total</w:t>
            </w:r>
          </w:p>
        </w:tc>
        <w:tc>
          <w:tcPr>
            <w:tcW w:type="dxa" w:w="2000"/>
            <w:tcMar>
              <w:top w:type="dxa" w:w="25"/>
              <w:left w:type="dxa" w:w="90"/>
              <w:bottom w:type="dxa" w:w="25"/>
              <w:right w:type="dxa" w:w="90"/>
            </w:tcMar>
            <w:vAlign w:val="center"/>
          </w:tcPr>
          <w:p>
            <w:r>
              <w:rPr>
                <w:b w:val="false"/>
                <w:bCs w:val="false"/>
                <w:sz w:val="18"/>
                <w:szCs w:val="18"/>
              </w:rPr>
              <w:t xml:space="preserve">218,280.00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Duplicate internal deposit rows (same settlement counted twice)</w:t>
            </w:r>
          </w:p>
        </w:tc>
        <w:tc>
          <w:tcPr>
            <w:tcW w:type="dxa" w:w="2000"/>
            <w:shd w:fill="EEF3F8" w:val="clear"/>
            <w:tcMar>
              <w:top w:type="dxa" w:w="25"/>
              <w:left w:type="dxa" w:w="90"/>
              <w:bottom w:type="dxa" w:w="25"/>
              <w:right w:type="dxa" w:w="90"/>
            </w:tcMar>
            <w:vAlign w:val="center"/>
          </w:tcPr>
          <w:p>
            <w:r>
              <w:rPr>
                <w:b w:val="false"/>
                <w:bCs w:val="false"/>
                <w:sz w:val="18"/>
                <w:szCs w:val="18"/>
              </w:rPr>
              <w:t xml:space="preserve">(1,300.00)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Reversals / chargebacks (not in the gateway's SETTLED total)</w:t>
            </w:r>
          </w:p>
        </w:tc>
        <w:tc>
          <w:tcPr>
            <w:tcW w:type="dxa" w:w="2000"/>
            <w:tcMar>
              <w:top w:type="dxa" w:w="25"/>
              <w:left w:type="dxa" w:w="90"/>
              <w:bottom w:type="dxa" w:w="25"/>
              <w:right w:type="dxa" w:w="90"/>
            </w:tcMar>
            <w:vAlign w:val="center"/>
          </w:tcPr>
          <w:p>
            <w:r>
              <w:rPr>
                <w:b w:val="false"/>
                <w:bCs w:val="false"/>
                <w:sz w:val="18"/>
                <w:szCs w:val="18"/>
              </w:rPr>
              <w:t xml:space="preserve">(850.00)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Deposits with no settlement yet (mid-week)</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(2,700.00)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Created in the last 15 min, not yet settled (provisional)</w:t>
            </w:r>
          </w:p>
        </w:tc>
        <w:tc>
          <w:tcPr>
            <w:tcW w:type="dxa" w:w="2000"/>
            <w:tcMar>
              <w:top w:type="dxa" w:w="25"/>
              <w:left w:type="dxa" w:w="90"/>
              <w:bottom w:type="dxa" w:w="25"/>
              <w:right w:type="dxa" w:w="90"/>
            </w:tcMar>
            <w:vAlign w:val="center"/>
          </w:tcPr>
          <w:p>
            <w:r>
              <w:rPr>
                <w:b w:val="false"/>
                <w:bCs w:val="false"/>
                <w:sz w:val="18"/>
                <w:szCs w:val="18"/>
              </w:rPr>
              <w:t xml:space="preserve">(3,650.00)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Settled in the first 15 min, no deposit this week (provisional)</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2,600.00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Settlements with no internal record</w:t>
            </w:r>
          </w:p>
        </w:tc>
        <w:tc>
          <w:tcPr>
            <w:tcW w:type="dxa" w:w="2000"/>
            <w:tcMar>
              <w:top w:type="dxa" w:w="25"/>
              <w:left w:type="dxa" w:w="90"/>
              <w:bottom w:type="dxa" w:w="25"/>
              <w:right w:type="dxa" w:w="90"/>
            </w:tcMar>
            <w:vAlign w:val="center"/>
          </w:tcPr>
          <w:p>
            <w:r>
              <w:rPr>
                <w:b w:val="false"/>
                <w:bCs w:val="false"/>
                <w:sz w:val="18"/>
                <w:szCs w:val="18"/>
              </w:rPr>
              <w:t xml:space="preserve">2,900.00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Settled by the gateway but marked FAILED by us</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250.00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Duplicate gateway settlement rows</w:t>
            </w:r>
          </w:p>
        </w:tc>
        <w:tc>
          <w:tcPr>
            <w:tcW w:type="dxa" w:w="2000"/>
            <w:tcMar>
              <w:top w:type="dxa" w:w="25"/>
              <w:left w:type="dxa" w:w="90"/>
              <w:bottom w:type="dxa" w:w="25"/>
              <w:right w:type="dxa" w:w="90"/>
            </w:tcMar>
            <w:vAlign w:val="center"/>
          </w:tcPr>
          <w:p>
            <w:r>
              <w:rPr>
                <w:b w:val="false"/>
                <w:bCs w:val="false"/>
                <w:sz w:val="18"/>
                <w:szCs w:val="18"/>
              </w:rPr>
              <w:t xml:space="preserve">1,550.00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Gross amount differences with the gateway (net)</w:t>
            </w:r>
          </w:p>
        </w:tc>
        <w:tc>
          <w:tcPr>
            <w:tcW w:type="dxa" w:w="2000"/>
            <w:shd w:fill="EEF3F8" w:val="clear"/>
            <w:tcMar>
              <w:top w:type="dxa" w:w="25"/>
              <w:left w:type="dxa" w:w="90"/>
              <w:bottom w:type="dxa" w:w="25"/>
              <w:right w:type="dxa" w:w="90"/>
            </w:tcMar>
            <w:vAlign w:val="center"/>
          </w:tcPr>
          <w:p>
            <w:r>
              <w:rPr>
                <w:b w:val="false"/>
                <w:bCs w:val="false"/>
                <w:sz w:val="18"/>
                <w:szCs w:val="18"/>
              </w:rPr>
              <w:t xml:space="preserve">900.00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Rounding (exactly 1 cent on 3 rows)</w:t>
            </w:r>
          </w:p>
        </w:tc>
        <w:tc>
          <w:tcPr>
            <w:tcW w:type="dxa" w:w="2000"/>
            <w:tcMar>
              <w:top w:type="dxa" w:w="25"/>
              <w:left w:type="dxa" w:w="90"/>
              <w:bottom w:type="dxa" w:w="25"/>
              <w:right w:type="dxa" w:w="90"/>
            </w:tcMar>
            <w:vAlign w:val="center"/>
          </w:tcPr>
          <w:p>
            <w:r>
              <w:rPr>
                <w:b w:val="false"/>
                <w:bCs w:val="false"/>
                <w:sz w:val="18"/>
                <w:szCs w:val="18"/>
              </w:rPr>
              <w:t xml:space="preserve">(0.03)</w:t>
            </w:r>
          </w:p>
        </w:tc>
      </w:tr>
      <w:tr>
        <w:trPr>
          <w:cantSplit/>
        </w:trPr>
        <w:tc>
          <w:tcPr>
            <w:tcW w:type="dxa" w:w="7360"/>
            <w:shd w:fill="EEF3F8" w:val="clear"/>
            <w:tcMar>
              <w:top w:type="dxa" w:w="25"/>
              <w:left w:type="dxa" w:w="90"/>
              <w:bottom w:type="dxa" w:w="25"/>
              <w:right w:type="dxa" w:w="90"/>
            </w:tcMar>
            <w:vAlign w:val="center"/>
          </w:tcPr>
          <w:p>
            <w:r>
              <w:rPr>
                <w:b/>
                <w:bCs/>
                <w:sz w:val="18"/>
                <w:szCs w:val="18"/>
              </w:rPr>
              <w:t xml:space="preserve">= Gateway SETTLED total</w:t>
            </w:r>
          </w:p>
        </w:tc>
        <w:tc>
          <w:tcPr>
            <w:tcW w:type="dxa" w:w="2000"/>
            <w:shd w:fill="EEF3F8" w:val="clear"/>
            <w:tcMar>
              <w:top w:type="dxa" w:w="25"/>
              <w:left w:type="dxa" w:w="90"/>
              <w:bottom w:type="dxa" w:w="25"/>
              <w:right w:type="dxa" w:w="90"/>
            </w:tcMar>
            <w:vAlign w:val="center"/>
          </w:tcPr>
          <w:p>
            <w:r>
              <w:rPr>
                <w:b/>
                <w:bCs/>
                <w:sz w:val="18"/>
                <w:szCs w:val="18"/>
              </w:rPr>
              <w:t xml:space="preserve">217,979.97</w:t>
            </w:r>
          </w:p>
        </w:tc>
      </w:tr>
      <w:tr>
        <w:trPr>
          <w:cantSplit/>
        </w:trPr>
        <w:tc>
          <w:tcPr>
            <w:tcW w:type="dxa" w:w="7360"/>
            <w:tcMar>
              <w:top w:type="dxa" w:w="25"/>
              <w:left w:type="dxa" w:w="90"/>
              <w:bottom w:type="dxa" w:w="25"/>
              <w:right w:type="dxa" w:w="90"/>
            </w:tcMar>
            <w:vAlign w:val="center"/>
          </w:tcPr>
          <w:p>
            <w:r>
              <w:rPr>
                <w:b/>
                <w:bCs/>
                <w:sz w:val="18"/>
                <w:szCs w:val="18"/>
              </w:rPr>
              <w:t xml:space="preserve">Residual (unexplained)</w:t>
            </w:r>
          </w:p>
        </w:tc>
        <w:tc>
          <w:tcPr>
            <w:tcW w:type="dxa" w:w="2000"/>
            <w:tcMar>
              <w:top w:type="dxa" w:w="25"/>
              <w:left w:type="dxa" w:w="90"/>
              <w:bottom w:type="dxa" w:w="25"/>
              <w:right w:type="dxa" w:w="90"/>
            </w:tcMar>
            <w:vAlign w:val="center"/>
          </w:tcPr>
          <w:p>
            <w:r>
              <w:rPr>
                <w:b/>
                <w:bCs/>
                <w:sz w:val="18"/>
                <w:szCs w:val="18"/>
              </w:rPr>
              <w:t xml:space="preserve">0.00</w:t>
            </w:r>
          </w:p>
        </w:tc>
      </w:tr>
    </w:tbl>
    <w:p>
      <w:pPr>
        <w:spacing w:after="60" w:before="140"/>
      </w:pPr>
      <w:r>
        <w:rPr>
          <w:b/>
          <w:bCs/>
          <w:color w:val="0E7C7B"/>
          <w:sz w:val="22"/>
          <w:szCs w:val="22"/>
        </w:rPr>
        <w:t xml:space="preserve">Priority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960"/>
        <w:gridCol w:w="1100"/>
        <w:gridCol w:w="1500"/>
      </w:tblGrid>
      <w:tr>
        <w:trPr>
          <w:tblHeader/>
        </w:trPr>
        <w:tc>
          <w:tcPr>
            <w:tcW w:type="dxa" w:w="800"/>
            <w:shd w:fill="1F3864" w:val="clear"/>
            <w:tcMar>
              <w:top w:type="dxa" w:w="25"/>
              <w:left w:type="dxa" w:w="90"/>
              <w:bottom w:type="dxa" w:w="25"/>
              <w:right w:type="dxa" w:w="90"/>
            </w:tcMar>
            <w:vAlign w:val="center"/>
          </w:tcPr>
          <w:p>
            <w:r>
              <w:rPr>
                <w:b/>
                <w:bCs/>
                <w:color w:val="FFFFFF"/>
                <w:sz w:val="18"/>
                <w:szCs w:val="18"/>
              </w:rPr>
              <w:t xml:space="preserve">When</w:t>
            </w:r>
          </w:p>
        </w:tc>
        <w:tc>
          <w:tcPr>
            <w:tcW w:type="dxa" w:w="5960"/>
            <w:shd w:fill="1F3864" w:val="clear"/>
            <w:tcMar>
              <w:top w:type="dxa" w:w="25"/>
              <w:left w:type="dxa" w:w="90"/>
              <w:bottom w:type="dxa" w:w="25"/>
              <w:right w:type="dxa" w:w="90"/>
            </w:tcMar>
            <w:vAlign w:val="center"/>
          </w:tcPr>
          <w:p>
            <w:r>
              <w:rPr>
                <w:b/>
                <w:bCs/>
                <w:color w:val="FFFFFF"/>
                <w:sz w:val="18"/>
                <w:szCs w:val="18"/>
              </w:rPr>
              <w:t xml:space="preserve">Action</w:t>
            </w:r>
          </w:p>
        </w:tc>
        <w:tc>
          <w:tcPr>
            <w:tcW w:type="dxa" w:w="1100"/>
            <w:shd w:fill="1F3864" w:val="clear"/>
            <w:tcMar>
              <w:top w:type="dxa" w:w="25"/>
              <w:left w:type="dxa" w:w="90"/>
              <w:bottom w:type="dxa" w:w="25"/>
              <w:right w:type="dxa" w:w="90"/>
            </w:tcMar>
            <w:vAlign w:val="center"/>
          </w:tcPr>
          <w:p>
            <w:r>
              <w:rPr>
                <w:b/>
                <w:bCs/>
                <w:color w:val="FFFFFF"/>
                <w:sz w:val="18"/>
                <w:szCs w:val="18"/>
              </w:rPr>
              <w:t xml:space="preserve">Owner</w:t>
            </w:r>
          </w:p>
        </w:tc>
        <w:tc>
          <w:tcPr>
            <w:tcW w:type="dxa" w:w="1500"/>
            <w:shd w:fill="1F3864" w:val="clear"/>
            <w:tcMar>
              <w:top w:type="dxa" w:w="25"/>
              <w:left w:type="dxa" w:w="90"/>
              <w:bottom w:type="dxa" w:w="25"/>
              <w:right w:type="dxa" w:w="90"/>
            </w:tcMar>
            <w:vAlign w:val="center"/>
          </w:tcPr>
          <w:p>
            <w:r>
              <w:rPr>
                <w:b/>
                <w:bCs/>
                <w:color w:val="FFFFFF"/>
                <w:sz w:val="18"/>
                <w:szCs w:val="18"/>
              </w:rPr>
              <w:t xml:space="preserve">NAD</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Today</w:t>
            </w:r>
          </w:p>
        </w:tc>
        <w:tc>
          <w:tcPr>
            <w:tcW w:type="dxa" w:w="5960"/>
            <w:tcMar>
              <w:top w:type="dxa" w:w="25"/>
              <w:left w:type="dxa" w:w="90"/>
              <w:bottom w:type="dxa" w:w="25"/>
              <w:right w:type="dxa" w:w="90"/>
            </w:tcMar>
            <w:vAlign w:val="center"/>
          </w:tcPr>
          <w:p>
            <w:r>
              <w:rPr>
                <w:b w:val="false"/>
                <w:bCs w:val="false"/>
                <w:sz w:val="18"/>
                <w:szCs w:val="18"/>
              </w:rPr>
              <w:t xml:space="preserve">Re-credit 2 players: marked FAILED by us, settled by the gateway</w:t>
            </w:r>
          </w:p>
        </w:tc>
        <w:tc>
          <w:tcPr>
            <w:tcW w:type="dxa" w:w="1100"/>
            <w:tcMar>
              <w:top w:type="dxa" w:w="25"/>
              <w:left w:type="dxa" w:w="90"/>
              <w:bottom w:type="dxa" w:w="25"/>
              <w:right w:type="dxa" w:w="90"/>
            </w:tcMar>
            <w:vAlign w:val="center"/>
          </w:tcPr>
          <w:p>
            <w:r>
              <w:rPr>
                <w:b w:val="false"/>
                <w:bCs w:val="false"/>
                <w:sz w:val="18"/>
                <w:szCs w:val="18"/>
              </w:rPr>
              <w:t xml:space="preserve">Payments</w:t>
            </w:r>
          </w:p>
        </w:tc>
        <w:tc>
          <w:tcPr>
            <w:tcW w:type="dxa" w:w="1500"/>
            <w:tcMar>
              <w:top w:type="dxa" w:w="25"/>
              <w:left w:type="dxa" w:w="90"/>
              <w:bottom w:type="dxa" w:w="25"/>
              <w:right w:type="dxa" w:w="90"/>
            </w:tcMar>
            <w:vAlign w:val="center"/>
          </w:tcPr>
          <w:p>
            <w:r>
              <w:rPr>
                <w:b w:val="false"/>
                <w:bCs w:val="false"/>
                <w:sz w:val="18"/>
                <w:szCs w:val="18"/>
              </w:rPr>
              <w:t xml:space="preserve">250.00</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Today</w:t>
            </w:r>
          </w:p>
        </w:tc>
        <w:tc>
          <w:tcPr>
            <w:tcW w:type="dxa" w:w="5960"/>
            <w:shd w:fill="EEF3F8" w:val="clear"/>
            <w:tcMar>
              <w:top w:type="dxa" w:w="25"/>
              <w:left w:type="dxa" w:w="90"/>
              <w:bottom w:type="dxa" w:w="25"/>
              <w:right w:type="dxa" w:w="90"/>
            </w:tcMar>
            <w:vAlign w:val="center"/>
          </w:tcPr>
          <w:p>
            <w:r>
              <w:rPr>
                <w:b w:val="false"/>
                <w:bCs w:val="false"/>
                <w:sz w:val="18"/>
                <w:szCs w:val="18"/>
              </w:rPr>
              <w:t xml:space="preserve">Get gateway detail for 4 unrecognised settlements (GW-000301 to 304)</w:t>
            </w:r>
          </w:p>
        </w:tc>
        <w:tc>
          <w:tcPr>
            <w:tcW w:type="dxa" w:w="1100"/>
            <w:shd w:fill="EEF3F8" w:val="clear"/>
            <w:tcMar>
              <w:top w:type="dxa" w:w="25"/>
              <w:left w:type="dxa" w:w="90"/>
              <w:bottom w:type="dxa" w:w="25"/>
              <w:right w:type="dxa" w:w="90"/>
            </w:tcMar>
            <w:vAlign w:val="center"/>
          </w:tcPr>
          <w:p>
            <w:r>
              <w:rPr>
                <w:b w:val="false"/>
                <w:bCs w:val="false"/>
                <w:sz w:val="18"/>
                <w:szCs w:val="18"/>
              </w:rPr>
              <w:t xml:space="preserve">Payments</w:t>
            </w:r>
          </w:p>
        </w:tc>
        <w:tc>
          <w:tcPr>
            <w:tcW w:type="dxa" w:w="1500"/>
            <w:shd w:fill="EEF3F8" w:val="clear"/>
            <w:tcMar>
              <w:top w:type="dxa" w:w="25"/>
              <w:left w:type="dxa" w:w="90"/>
              <w:bottom w:type="dxa" w:w="25"/>
              <w:right w:type="dxa" w:w="90"/>
            </w:tcMar>
            <w:vAlign w:val="center"/>
          </w:tcPr>
          <w:p>
            <w:r>
              <w:rPr>
                <w:b w:val="false"/>
                <w:bCs w:val="false"/>
                <w:sz w:val="18"/>
                <w:szCs w:val="18"/>
              </w:rPr>
              <w:t xml:space="preserve">2,900.00</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Week</w:t>
            </w:r>
          </w:p>
        </w:tc>
        <w:tc>
          <w:tcPr>
            <w:tcW w:type="dxa" w:w="5960"/>
            <w:tcMar>
              <w:top w:type="dxa" w:w="25"/>
              <w:left w:type="dxa" w:w="90"/>
              <w:bottom w:type="dxa" w:w="25"/>
              <w:right w:type="dxa" w:w="90"/>
            </w:tcMar>
            <w:vAlign w:val="center"/>
          </w:tcPr>
          <w:p>
            <w:r>
              <w:rPr>
                <w:b w:val="false"/>
                <w:bCs w:val="false"/>
                <w:sz w:val="18"/>
                <w:szCs w:val="18"/>
              </w:rPr>
              <w:t xml:space="preserve">Dispute 4 gross differences (3 players under-credited R950, 1 over R50)</w:t>
            </w:r>
          </w:p>
        </w:tc>
        <w:tc>
          <w:tcPr>
            <w:tcW w:type="dxa" w:w="1100"/>
            <w:tcMar>
              <w:top w:type="dxa" w:w="25"/>
              <w:left w:type="dxa" w:w="90"/>
              <w:bottom w:type="dxa" w:w="25"/>
              <w:right w:type="dxa" w:w="90"/>
            </w:tcMar>
            <w:vAlign w:val="center"/>
          </w:tcPr>
          <w:p>
            <w:r>
              <w:rPr>
                <w:b w:val="false"/>
                <w:bCs w:val="false"/>
                <w:sz w:val="18"/>
                <w:szCs w:val="18"/>
              </w:rPr>
              <w:t xml:space="preserve">Finance</w:t>
            </w:r>
          </w:p>
        </w:tc>
        <w:tc>
          <w:tcPr>
            <w:tcW w:type="dxa" w:w="1500"/>
            <w:tcMar>
              <w:top w:type="dxa" w:w="25"/>
              <w:left w:type="dxa" w:w="90"/>
              <w:bottom w:type="dxa" w:w="25"/>
              <w:right w:type="dxa" w:w="90"/>
            </w:tcMar>
            <w:vAlign w:val="center"/>
          </w:tcPr>
          <w:p>
            <w:r>
              <w:rPr>
                <w:b w:val="false"/>
                <w:bCs w:val="false"/>
                <w:sz w:val="18"/>
                <w:szCs w:val="18"/>
              </w:rPr>
              <w:t xml:space="preserve">900.00 net</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Week</w:t>
            </w:r>
          </w:p>
        </w:tc>
        <w:tc>
          <w:tcPr>
            <w:tcW w:type="dxa" w:w="5960"/>
            <w:shd w:fill="EEF3F8" w:val="clear"/>
            <w:tcMar>
              <w:top w:type="dxa" w:w="25"/>
              <w:left w:type="dxa" w:w="90"/>
              <w:bottom w:type="dxa" w:w="25"/>
              <w:right w:type="dxa" w:w="90"/>
            </w:tcMar>
            <w:vAlign w:val="center"/>
          </w:tcPr>
          <w:p>
            <w:r>
              <w:rPr>
                <w:b w:val="false"/>
                <w:bCs w:val="false"/>
                <w:sz w:val="18"/>
                <w:szCs w:val="18"/>
              </w:rPr>
              <w:t xml:space="preserve">Claim fee overcharges (4) and short-paid nets (2)</w:t>
            </w:r>
          </w:p>
        </w:tc>
        <w:tc>
          <w:tcPr>
            <w:tcW w:type="dxa" w:w="1100"/>
            <w:shd w:fill="EEF3F8" w:val="clear"/>
            <w:tcMar>
              <w:top w:type="dxa" w:w="25"/>
              <w:left w:type="dxa" w:w="90"/>
              <w:bottom w:type="dxa" w:w="25"/>
              <w:right w:type="dxa" w:w="90"/>
            </w:tcMar>
            <w:vAlign w:val="center"/>
          </w:tcPr>
          <w:p>
            <w:r>
              <w:rPr>
                <w:b w:val="false"/>
                <w:bCs w:val="false"/>
                <w:sz w:val="18"/>
                <w:szCs w:val="18"/>
              </w:rPr>
              <w:t xml:space="preserve">Finance</w:t>
            </w:r>
          </w:p>
        </w:tc>
        <w:tc>
          <w:tcPr>
            <w:tcW w:type="dxa" w:w="1500"/>
            <w:shd w:fill="EEF3F8" w:val="clear"/>
            <w:tcMar>
              <w:top w:type="dxa" w:w="25"/>
              <w:left w:type="dxa" w:w="90"/>
              <w:bottom w:type="dxa" w:w="25"/>
              <w:right w:type="dxa" w:w="90"/>
            </w:tcMar>
            <w:vAlign w:val="center"/>
          </w:tcPr>
          <w:p>
            <w:r>
              <w:rPr>
                <w:b w:val="false"/>
                <w:bCs w:val="false"/>
                <w:sz w:val="18"/>
                <w:szCs w:val="18"/>
              </w:rPr>
              <w:t xml:space="preserve">7.75</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Week</w:t>
            </w:r>
          </w:p>
        </w:tc>
        <w:tc>
          <w:tcPr>
            <w:tcW w:type="dxa" w:w="5960"/>
            <w:tcMar>
              <w:top w:type="dxa" w:w="25"/>
              <w:left w:type="dxa" w:w="90"/>
              <w:bottom w:type="dxa" w:w="25"/>
              <w:right w:type="dxa" w:w="90"/>
            </w:tcMar>
            <w:vAlign w:val="center"/>
          </w:tcPr>
          <w:p>
            <w:r>
              <w:rPr>
                <w:b w:val="false"/>
                <w:bCs w:val="false"/>
                <w:sz w:val="18"/>
                <w:szCs w:val="18"/>
              </w:rPr>
              <w:t xml:space="preserve">Did 2 duplicate settlements pay twice? Audit 3 duplicate deposits</w:t>
            </w:r>
          </w:p>
        </w:tc>
        <w:tc>
          <w:tcPr>
            <w:tcW w:type="dxa" w:w="1100"/>
            <w:tcMar>
              <w:top w:type="dxa" w:w="25"/>
              <w:left w:type="dxa" w:w="90"/>
              <w:bottom w:type="dxa" w:w="25"/>
              <w:right w:type="dxa" w:w="90"/>
            </w:tcMar>
            <w:vAlign w:val="center"/>
          </w:tcPr>
          <w:p>
            <w:r>
              <w:rPr>
                <w:b w:val="false"/>
                <w:bCs w:val="false"/>
                <w:sz w:val="18"/>
                <w:szCs w:val="18"/>
              </w:rPr>
              <w:t xml:space="preserve">Payments</w:t>
            </w:r>
          </w:p>
        </w:tc>
        <w:tc>
          <w:tcPr>
            <w:tcW w:type="dxa" w:w="1500"/>
            <w:tcMar>
              <w:top w:type="dxa" w:w="25"/>
              <w:left w:type="dxa" w:w="90"/>
              <w:bottom w:type="dxa" w:w="25"/>
              <w:right w:type="dxa" w:w="90"/>
            </w:tcMar>
            <w:vAlign w:val="center"/>
          </w:tcPr>
          <w:p>
            <w:r>
              <w:rPr>
                <w:b w:val="false"/>
                <w:bCs w:val="false"/>
                <w:sz w:val="18"/>
                <w:szCs w:val="18"/>
              </w:rPr>
              <w:t xml:space="preserve">1,550 / 1,300</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Week</w:t>
            </w:r>
          </w:p>
        </w:tc>
        <w:tc>
          <w:tcPr>
            <w:tcW w:type="dxa" w:w="5960"/>
            <w:shd w:fill="EEF3F8" w:val="clear"/>
            <w:tcMar>
              <w:top w:type="dxa" w:w="25"/>
              <w:left w:type="dxa" w:w="90"/>
              <w:bottom w:type="dxa" w:w="25"/>
              <w:right w:type="dxa" w:w="90"/>
            </w:tcMar>
            <w:vAlign w:val="center"/>
          </w:tcPr>
          <w:p>
            <w:r>
              <w:rPr>
                <w:b w:val="false"/>
                <w:bCs w:val="false"/>
                <w:sz w:val="18"/>
                <w:szCs w:val="18"/>
              </w:rPr>
              <w:t xml:space="preserve">Confirm the wallet debit for each of 3 reversals</w:t>
            </w:r>
          </w:p>
        </w:tc>
        <w:tc>
          <w:tcPr>
            <w:tcW w:type="dxa" w:w="1100"/>
            <w:shd w:fill="EEF3F8" w:val="clear"/>
            <w:tcMar>
              <w:top w:type="dxa" w:w="25"/>
              <w:left w:type="dxa" w:w="90"/>
              <w:bottom w:type="dxa" w:w="25"/>
              <w:right w:type="dxa" w:w="90"/>
            </w:tcMar>
            <w:vAlign w:val="center"/>
          </w:tcPr>
          <w:p>
            <w:r>
              <w:rPr>
                <w:b w:val="false"/>
                <w:bCs w:val="false"/>
                <w:sz w:val="18"/>
                <w:szCs w:val="18"/>
              </w:rPr>
              <w:t xml:space="preserve">Finance</w:t>
            </w:r>
          </w:p>
        </w:tc>
        <w:tc>
          <w:tcPr>
            <w:tcW w:type="dxa" w:w="1500"/>
            <w:shd w:fill="EEF3F8" w:val="clear"/>
            <w:tcMar>
              <w:top w:type="dxa" w:w="25"/>
              <w:left w:type="dxa" w:w="90"/>
              <w:bottom w:type="dxa" w:w="25"/>
              <w:right w:type="dxa" w:w="90"/>
            </w:tcMar>
            <w:vAlign w:val="center"/>
          </w:tcPr>
          <w:p>
            <w:r>
              <w:rPr>
                <w:b w:val="false"/>
                <w:bCs w:val="false"/>
                <w:sz w:val="18"/>
                <w:szCs w:val="18"/>
              </w:rPr>
              <w:t xml:space="preserve">850.00</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3 days</w:t>
            </w:r>
          </w:p>
        </w:tc>
        <w:tc>
          <w:tcPr>
            <w:tcW w:type="dxa" w:w="5960"/>
            <w:tcMar>
              <w:top w:type="dxa" w:w="25"/>
              <w:left w:type="dxa" w:w="90"/>
              <w:bottom w:type="dxa" w:w="25"/>
              <w:right w:type="dxa" w:w="90"/>
            </w:tcMar>
            <w:vAlign w:val="center"/>
          </w:tcPr>
          <w:p>
            <w:r>
              <w:rPr>
                <w:b w:val="false"/>
                <w:bCs w:val="false"/>
                <w:sz w:val="18"/>
                <w:szCs w:val="18"/>
              </w:rPr>
              <w:t xml:space="preserve">5 deposits with no settlement: re-check next file, then escalate</w:t>
            </w:r>
          </w:p>
        </w:tc>
        <w:tc>
          <w:tcPr>
            <w:tcW w:type="dxa" w:w="1100"/>
            <w:tcMar>
              <w:top w:type="dxa" w:w="25"/>
              <w:left w:type="dxa" w:w="90"/>
              <w:bottom w:type="dxa" w:w="25"/>
              <w:right w:type="dxa" w:w="90"/>
            </w:tcMar>
            <w:vAlign w:val="center"/>
          </w:tcPr>
          <w:p>
            <w:r>
              <w:rPr>
                <w:b w:val="false"/>
                <w:bCs w:val="false"/>
                <w:sz w:val="18"/>
                <w:szCs w:val="18"/>
              </w:rPr>
              <w:t xml:space="preserve">Finance</w:t>
            </w:r>
          </w:p>
        </w:tc>
        <w:tc>
          <w:tcPr>
            <w:tcW w:type="dxa" w:w="1500"/>
            <w:tcMar>
              <w:top w:type="dxa" w:w="25"/>
              <w:left w:type="dxa" w:w="90"/>
              <w:bottom w:type="dxa" w:w="25"/>
              <w:right w:type="dxa" w:w="90"/>
            </w:tcMar>
            <w:vAlign w:val="center"/>
          </w:tcPr>
          <w:p>
            <w:r>
              <w:rPr>
                <w:b w:val="false"/>
                <w:bCs w:val="false"/>
                <w:sz w:val="18"/>
                <w:szCs w:val="18"/>
              </w:rPr>
              <w:t xml:space="preserve">2,700.00</w:t>
            </w:r>
          </w:p>
        </w:tc>
      </w:tr>
    </w:tbl>
    <w:p>
      <w:pPr>
        <w:spacing w:after="60" w:before="140"/>
      </w:pPr>
      <w:r>
        <w:rPr>
          <w:b/>
          <w:bCs/>
          <w:color w:val="0E7C7B"/>
          <w:sz w:val="22"/>
          <w:szCs w:val="22"/>
        </w:rPr>
        <w:t xml:space="preserve">Material assumptions</w:t>
      </w:r>
    </w:p>
    <w:p>
      <w:pPr>
        <w:pStyle w:val="ListParagraph"/>
        <w:numPr>
          <w:ilvl w:val="0"/>
          <w:numId w:val="2"/>
        </w:numPr>
        <w:spacing w:after="40"/>
      </w:pPr>
      <w:r>
        <w:rPr>
          <w:sz w:val="18"/>
          <w:szCs w:val="18"/>
        </w:rPr>
        <w:t xml:space="preserve">Timing lines are provisional: this week's files can't prove them. R3,650 (3 deposits created 23:54–23:55 on 7 Sep) should appear in the 8–14 Sep gateway file; R2,600 (3 settlements at 00:04–00:06 on 1 Sep, GW-000331 to 333) should match the 25–31 Aug internal file. Finance keeps all six open until matched; any unmatched item becomes a break.</w:t>
      </w:r>
    </w:p>
    <w:p>
      <w:pPr>
        <w:pStyle w:val="ListParagraph"/>
        <w:numPr>
          <w:ilvl w:val="0"/>
          <w:numId w:val="2"/>
        </w:numPr>
        <w:spacing w:after="40"/>
      </w:pPr>
      <w:r>
        <w:rPr>
          <w:sz w:val="18"/>
          <w:szCs w:val="18"/>
        </w:rPr>
        <w:t xml:space="preserve">Fee = 2% of gross + R1.00, to the cent; any fee or net difference of 1 cent or more is flagged. Gross differences of exactly 1 cent (3 rows, R0.03) are treated as rounding, a materiality choice for Finance to confirm. Fee and net errors don't move gross, so they are actions, not bridge lines.</w:t>
      </w:r>
    </w:p>
    <w:sectPr>
      <w:pgSz w:w="12240" w:h="15840" w:orient="portrait"/>
      <w:pgMar w:top="900" w:right="1440" w:bottom="9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gateway reconciliation — Finance Manager summary</dc:title>
  <dc:creator>Candidate submission</dc:creator>
  <cp:lastModifiedBy>Un-named</cp:lastModifiedBy>
  <cp:revision>1</cp:revision>
  <dcterms:created xsi:type="dcterms:W3CDTF">2026-09-28T19:10:43.445Z</dcterms:created>
  <dcterms:modified xsi:type="dcterms:W3CDTF">2026-09-28T19:10:43.445Z</dcterms:modified>
</cp:coreProperties>
</file>

<file path=docProps/custom.xml><?xml version="1.0" encoding="utf-8"?>
<Properties xmlns="http://schemas.openxmlformats.org/officeDocument/2006/custom-properties" xmlns:vt="http://schemas.openxmlformats.org/officeDocument/2006/docPropsVTypes"/>
</file>