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 · Databricks (Delta Lake, serverless)</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spacing w:after="160"/>
      </w:pPr>
      <w:r>
        <w:t xml:space="preserve">Evidence: evidence/README.md lists every image in this document with its SHA-256 and the commit that produced it. It marks which are real application screenshots (Windows XAMPP, MySQL Workbench, Postman, PyCharm) and which are terminal output from a logged run redrawn as an image, whose text log is the primary evidence. INDEX.md maps each requirement to its evidence.</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ListParagraph"/>
        <w:numPr>
          <w:ilvl w:val="0"/>
          <w:numId w:val="2"/>
        </w:numPr>
        <w:spacing w:after="80"/>
      </w:pPr>
      <w:r>
        <w:t xml:space="preserve">Databricks — The Same Three Exercises on Delta Lake</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p>
      <w:pPr>
        <w:spacing w:after="160"/>
      </w:pPr>
      <w:r>
        <w:t xml:space="preserve">Every one of the 49 rows in exceptions.csv carries exactly one classification, as the brief asks: genuine break (34), timing difference (6) or not a problem (9), plus a row-specific explanation, next step and owner.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3"/>
        <w:keepNext/>
        <w:keepLines/>
        <w:spacing w:after="100" w:before="200"/>
      </w:pPr>
      <w:r>
        <w:t xml:space="preserve">Assumptions</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p>
      <w:pPr>
        <w:pStyle w:val="Heading2"/>
        <w:keepNext/>
        <w:keepLines/>
        <w:spacing w:after="150" w:before="300"/>
      </w:pPr>
      <w:r>
        <w:t xml:space="preserve">Design</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Evidence: kill, restart,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Checks and tests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Live run — Postman Desktop against the local mock API</w:t>
      </w:r>
    </w:p>
    <w:p>
      <w:pPr>
        <w:spacing w:after="160"/>
      </w:pPr>
      <w:r>
        <w:t xml:space="preserve">The collection was run in Postman Desktop's Collection Runner on the candidate's Windows PC, against mock_api.py started locally. The mock's random 429/500 faults were switched off for this run, so it shows the API contract itself: all seven requests, 17 tests, 17 passed, 0 failed, 0 errors. Fault handling is proven separately by the Newman run with an injected 500 and by the ingestion transcript, where ingest.py rides through 429s, 500s and repeated rows.</w:t>
      </w:r>
    </w:p>
    <w:p>
      <w:pPr>
        <w:keepNext/>
        <w:spacing w:before="200"/>
        <w:jc w:val="center"/>
      </w:pPr>
      <w:r>
        <w:drawing>
          <wp:inline distT="0" distB="0" distL="0" distR="0">
            <wp:extent cx="4953000" cy="2781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Postman Collection Runner (genuine capture): 17 tests, 17 passed, 0 failed, 0 errors; every request returns 200.</w:t>
      </w:r>
    </w:p>
    <w:p>
      <w:pPr>
        <w:keepNext/>
        <w:spacing w:before="200"/>
        <w:jc w:val="center"/>
      </w:pPr>
      <w:r>
        <w:drawing>
          <wp:inline distT="0" distB="0" distL="0" distR="0">
            <wp:extent cx="4953000" cy="2781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Same run, end of the self-paginating count: DONE, 1,027 records returned across 6 pages.</w:t>
      </w:r>
    </w:p>
    <w:p>
      <w:pPr>
        <w:spacing w:after="160"/>
      </w:pPr>
      <w:r>
        <w:t xml:space="preserve">1,027 is the raw count including the API's in-page repeated rows. There are 1,025 distinct records, which is exactly what ingest.py loads: 1,024 plus 1 quarantined.</w:t>
      </w:r>
    </w:p>
    <w:p>
      <w:pPr>
        <w:pStyle w:val="Heading2"/>
        <w:keepNext/>
        <w:keepLines/>
        <w:spacing w:after="150" w:before="300"/>
      </w:pPr>
      <w:r>
        <w:t xml:space="preserve">What I'd change for production</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p>
      <w:pPr>
        <w:pStyle w:val="Heading2"/>
        <w:keepNext/>
        <w:keepLines/>
        <w:spacing w:after="150" w:before="300"/>
      </w:pPr>
      <w:r>
        <w:t xml:space="preserve">1–2. Tables, keys, types, constraints, indexes, and the ERD</w:t>
      </w:r>
    </w:p>
    <w:p>
      <w:pPr>
        <w:keepNext/>
        <w:spacing w:before="200"/>
        <w:jc w:val="center"/>
      </w:pPr>
      <w:r>
        <w:drawing>
          <wp:inline distT="0" distB="0" distL="0" distR="0">
            <wp:extent cx="5905500" cy="5057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3"/>
        <w:keepNext/>
        <w:keepLines/>
        <w:spacing w:after="100" w:before="200"/>
      </w:pPr>
      <w:r>
        <w:t xml:space="preserve">Requirements traceability and deliberate extensions</w:t>
      </w:r>
    </w:p>
    <w:p>
      <w:pPr>
        <w:spacing w:after="160"/>
      </w:pPr>
      <w:r>
        <w:t xml:space="preserve">The brief names capabilities, not tables. Every one of the 24 tables maps to a stated requirement, either directly or as the normalisation or control that requirement needs. The full matrix is in SCHEMA_REQUIREMENTS_TRACEABILITY.md, and no table is an unexplained extension.</w:t>
      </w:r>
    </w:p>
    <w:p>
      <w:pPr>
        <w:pStyle w:val="ListParagraph"/>
        <w:numPr>
          <w:ilvl w:val="0"/>
          <w:numId w:val="2"/>
        </w:numPr>
        <w:spacing w:after="80"/>
      </w:pPr>
      <w:r>
        <w:t xml:space="preserve">player_status_history is retained on purpose. The brief lists player status (active, blocked, self-excluded) and KYC status and asks for regulator queries. A current value on players can't answer "was this player self-excluded, or unverified, when the bet was placed?"; an SCD2 history can. It sits alongside the VIP-tier and tag histories the brief names.</w:t>
      </w:r>
    </w:p>
    <w:p>
      <w:pPr>
        <w:pStyle w:val="ListParagraph"/>
        <w:numPr>
          <w:ilvl w:val="0"/>
          <w:numId w:val="2"/>
        </w:numPr>
        <w:spacing w:after="80"/>
      </w:pPr>
      <w:r>
        <w:t xml:space="preserve">Normalisation the brief implies: payment_methods; the product detail and reference tables (sports events and legs; casino games and providers; retail locations and devices); and bonus_rollover_events, which makes rollover progress auditable. There is no separate bonus-outcome table: player_bonuses.status and resolved_at_utc record completed, expired and forfeited.</w:t>
      </w:r>
    </w:p>
    <w:p>
      <w:pPr>
        <w:pStyle w:val="Heading2"/>
        <w:keepNext/>
        <w:keepLines/>
        <w:spacing w:after="150" w:before="300"/>
      </w:pPr>
      <w:r>
        <w:t xml:space="preserve">3. How a balance is calculated and guaranteed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4–5. History, and protecting personal information</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6. The four questions — verified output</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7. From operational design to a reporting model</w:t>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spacing w:after="160"/>
      </w:pPr>
      <w:r>
        <w:t xml:space="preserve">The same build on the candidate's Windows PC (XAMPP MariaDB 10.4, dbt 1.7.20): staging 11/11, marts 13/13, dbt test 54/54, and 43 tables + 11 views = 54 objects with no table missing a primary key. The genuine captures are in local_load/screenshots/ and listed in evidence/README.md.</w:t>
      </w:r>
    </w:p>
    <w:p>
      <w:pPr>
        <w:keepNext/>
        <w:spacing w:before="200"/>
        <w:jc w:val="center"/>
      </w:pPr>
      <w:r>
        <w:drawing>
          <wp:inline distT="0" distB="0" distL="0" distR="0">
            <wp:extent cx="4953000" cy="2781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Windows Command Prompt (genuine capture): dbt test on XAMPP MariaDB. PASS=54 WARN=0 ERROR=0.</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The project was opened in Power BI Desktop on the candidate's Windows PC, from a fresh unzip into an empty folder of the minimal Power BI package (v7), and refreshed. The final package, deliverables/JSB_PowerBI_v8.zip, contains byte-identical model, report and data files plus a SHA-256 manifest. Every visible value matches expected_values.md, which is computed independently in pandas. Below are genuine Desktop captures of all four report pages and the Model view; each is hashed in evidence/README.md.</w:t>
      </w:r>
    </w:p>
    <w:p>
      <w:pPr>
        <w:keepNext/>
        <w:spacing w:before="200"/>
        <w:jc w:val="center"/>
      </w:pPr>
      <w:r>
        <w:drawing>
          <wp:inline distT="0" distB="0" distL="0" distR="0">
            <wp:extent cx="5334000" cy="3000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1 after refresh: GGR 260.00, bonus cost 40.00, NGR 220.00, liability 10.00; Registration Bonus 40.00 = 18.18% of NGR.</w:t>
      </w:r>
    </w:p>
    <w:p>
      <w:pPr>
        <w:keepNext/>
        <w:spacing w:before="200"/>
        <w:jc w:val="center"/>
      </w:pPr>
      <w:r>
        <w:drawing>
          <wp:inline distT="0" distB="0" distL="0" distR="0">
            <wp:extent cx="5334000" cy="3000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2, player balances over the full date range: P1 890.00; P2 415.00 real, 0.00 bonus; P3 90.00 real, 10.00 bonus; deposits 1,600.00.</w:t>
      </w:r>
    </w:p>
    <w:p>
      <w:pPr>
        <w:keepNext/>
        <w:spacing w:before="200"/>
        <w:jc w:val="center"/>
      </w:pPr>
      <w:r>
        <w:drawing>
          <wp:inline distT="0" distB="0" distL="0" distR="0">
            <wp:extent cx="5334000" cy="3000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3: 274 matched, 43 exceptions, Act Now R3,150.00, bridge residual R0.00; the waterfall from R218,280 to R217,980.</w:t>
      </w:r>
    </w:p>
    <w:p>
      <w:pPr>
        <w:keepNext/>
        <w:spacing w:before="200"/>
        <w:jc w:val="center"/>
      </w:pPr>
      <w:r>
        <w:drawing>
          <wp:inline distT="0" distB="0" distL="0" distR="0">
            <wp:extent cx="5334000" cy="3000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4, ingestion monitoring: 1,024 loaded, 4 runs (run 1 ABANDONED; run 4 loaded 25 new and 40 changed), 1 rejected, 1 API retry.</w:t>
      </w:r>
    </w:p>
    <w:p>
      <w:pPr>
        <w:keepNext/>
        <w:spacing w:before="200"/>
        <w:jc w:val="center"/>
      </w:pPr>
      <w:r>
        <w:drawing>
          <wp:inline distT="0" distB="0" distL="0" distR="0">
            <wp:extent cx="5334000" cy="3000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Power BI Desktop, Model view: 11 tables and 7 relationships. The three dimensions filter the three facts; the four Exercise 1 and 2 tables stand alone.</w:t>
      </w:r>
    </w:p>
    <w:p>
      <w:pPr>
        <w:spacing w:after="160"/>
      </w:pPr>
      <w:r>
        <w:t xml:space="preserve">Before the desktop run, the build script had already checked that every visual field, sort and DAX reference resolves to the model, that every CSV's columns match it, and that no filter path is ambiguous. The data embedded in the model was also checked, row for row, against the exported tables.</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Databricks — The Same Three Exercises on Delta Lake</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5334000" cy="3000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Databricks Jobs UI (genuine capture): the job run with ex1, ex2 and ex3 all Succeeded on serverless.</w:t>
      </w:r>
    </w:p>
    <w:p>
      <w:pPr>
        <w:keepNext/>
        <w:spacing w:before="200"/>
        <w:jc w:val="center"/>
      </w:pPr>
      <w:r>
        <w:drawing>
          <wp:inline distT="0" distB="0" distL="0" distR="0">
            <wp:extent cx="4953000" cy="2771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a1e352b3e7a33bad16d298a25b52ba8aad9380d9.png"/><Relationship Id="rId15" Type="http://schemas.openxmlformats.org/officeDocument/2006/relationships/image" Target="media/3eef506c47a602597b8441a8ac5d9b60c06f91ae.png"/><Relationship Id="rId16" Type="http://schemas.openxmlformats.org/officeDocument/2006/relationships/image" Target="media/9c85e84dcfe559d9084b5fbe34f6f78ea37db0e1.png"/><Relationship Id="rId17" Type="http://schemas.openxmlformats.org/officeDocument/2006/relationships/image" Target="media/4423451f064db96233ae0b1a9de0f4bf82b55af2.png"/><Relationship Id="rId18" Type="http://schemas.openxmlformats.org/officeDocument/2006/relationships/image" Target="media/204c1d07ffdf5b59f2cf1062c673b6469b432dd8.png"/><Relationship Id="rId19" Type="http://schemas.openxmlformats.org/officeDocument/2006/relationships/image" Target="media/2a3caf5c1ef0c1e0b3c96e577e1b995b4a699d63.png"/><Relationship Id="rId20" Type="http://schemas.openxmlformats.org/officeDocument/2006/relationships/image" Target="media/e91c1d06a22571db0e74133ff0b23f634c8e2351.png"/><Relationship Id="rId21" Type="http://schemas.openxmlformats.org/officeDocument/2006/relationships/image" Target="media/3f29627025e1f504ddd811016b52f6e9d6e039d5.png"/><Relationship Id="rId22" Type="http://schemas.openxmlformats.org/officeDocument/2006/relationships/image" Target="media/bc3296cf5af0adff976e6968eb11aaf2ee2dadcc.png"/><Relationship Id="rId23" Type="http://schemas.openxmlformats.org/officeDocument/2006/relationships/image" Target="media/bb52ed7c2abf3dd38d5680f57307a7851e4d5e93.png"/><Relationship Id="rId24" Type="http://schemas.openxmlformats.org/officeDocument/2006/relationships/image" Target="media/85ff51b995d234b16a46c20104718c0abe7f19a9.png"/><Relationship Id="rId25" Type="http://schemas.openxmlformats.org/officeDocument/2006/relationships/image" Target="media/40490199610b57be995f824c244a56e1dce2ba86.png"/><Relationship Id="rId26" Type="http://schemas.openxmlformats.org/officeDocument/2006/relationships/image" Target="media/7a4066b1682804c5d1ea62fb108bf076adef1841.png"/><Relationship Id="rId27" Type="http://schemas.openxmlformats.org/officeDocument/2006/relationships/image" Target="media/e0dd361a54b99e0ff55a91b20526abc9bc3a6eb9.png"/><Relationship Id="rId28" Type="http://schemas.openxmlformats.org/officeDocument/2006/relationships/image" Target="media/ae352e525904d47885006cddd77367883fdd4f3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2026-09-29T07:28:09.013Z</dcterms:created>
  <dcterms:modified xsi:type="dcterms:W3CDTF">2026-09-29T07:28:09.014Z</dcterms:modified>
</cp:coreProperties>
</file>

<file path=docProps/custom.xml><?xml version="1.0" encoding="utf-8"?>
<Properties xmlns="http://schemas.openxmlformats.org/officeDocument/2006/custom-properties" xmlns:vt="http://schemas.openxmlformats.org/officeDocument/2006/docPropsVTypes"/>
</file>