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595959"/>
          <w:sz w:val="30"/>
          <w:szCs w:val="30"/>
        </w:rPr>
        <w:t xml:space="preserve">JSB Data Engineer</w:t>
      </w:r>
    </w:p>
    <w:p>
      <w:pPr>
        <w:spacing w:after="100" w:before="100"/>
        <w:jc w:val="center"/>
      </w:pPr>
      <w:r>
        <w:rPr>
          <w:b/>
          <w:bCs/>
          <w:color w:val="1F3864"/>
          <w:sz w:val="56"/>
          <w:szCs w:val="56"/>
        </w:rPr>
        <w:t xml:space="preserve">Practical Exercises — Candidate Submission</w:t>
      </w:r>
    </w:p>
    <w:p>
      <w:pPr>
        <w:pBdr>
          <w:bottom w:val="single" w:color="0E7C7B" w:sz="6" w:space="8"/>
        </w:pBdr>
        <w:spacing w:after="800" w:before="300"/>
        <w:jc w:val="center"/>
      </w:pPr>
      <w:r>
        <w:rPr>
          <w:color w:val="0E7C7B"/>
          <w:sz w:val="24"/>
          <w:szCs w:val="24"/>
        </w:rPr>
        <w:t xml:space="preserve">Payment reconciliation · Incremental API ingestion · Database design &amp; reporting model</w:t>
      </w:r>
    </w:p>
    <w:p>
      <w:pPr>
        <w:spacing w:after="60" w:before="1200"/>
        <w:jc w:val="center"/>
      </w:pPr>
      <w:r>
        <w:rPr>
          <w:b/>
          <w:bCs/>
          <w:sz w:val="22"/>
          <w:szCs w:val="22"/>
        </w:rPr>
        <w:t xml:space="preserve">Tools used, end to end</w:t>
      </w:r>
    </w:p>
    <w:p>
      <w:pPr>
        <w:spacing w:after="400"/>
        <w:jc w:val="center"/>
      </w:pPr>
      <w:r>
        <w:rPr>
          <w:color w:val="595959"/>
          <w:sz w:val="20"/>
          <w:szCs w:val="20"/>
        </w:rPr>
        <w:t xml:space="preserve">MySQL 8.0 · MariaDB 10.11 (cross-verified) · Python 3.11 · dbt-core 1.7 (dbt-mysql) · Postman / Newman · Mermaid · Power BI (data model)</w:t>
      </w:r>
    </w:p>
    <w:p>
      <w:pPr>
        <w:spacing w:before="2000"/>
        <w:jc w:val="center"/>
      </w:pPr>
      <w:r>
        <w:rPr>
          <w:i/>
          <w:iCs/>
          <w:color w:val="595959"/>
          <w:sz w:val="20"/>
          <w:szCs w:val="20"/>
        </w:rPr>
        <w:t xml:space="preserve">Every number in this document was produced by actually running the code and queries shown — not hand-typed. Evidence for each figure lives in the accompanying repository.</w:t>
      </w:r>
    </w:p>
    <w:p>
      <w:pPr>
        <w:pStyle w:val="Heading1"/>
        <w:pageBreakBefore/>
        <w:spacing w:after="200" w:before="400"/>
      </w:pPr>
      <w:r>
        <w:t xml:space="preserve">How to read this document</w:t>
      </w:r>
    </w:p>
    <w:p>
      <w:pPr>
        <w:spacing w:after="160"/>
      </w:pPr>
      <w:r>
        <w:t xml:space="preserve">This document is the write-up for all three practical exercises. Each section states the scenario briefly, the approach taken, the tools used, and the evidence that it actually works — screenshots are captures of real runs, not mock-ups. Full source code, SQL, and raw evidence files accompany this document in the submitted repository (folder: candidate-assessment/).</w:t>
      </w:r>
    </w:p>
    <w:p>
      <w:pPr>
        <w:spacing w:after="160"/>
      </w:pPr>
      <w:r>
        <w:t xml:space="preserve">A short note on assumptions: per the brief's instruction not to stop on ambiguity, every assumption made is written down at the point it's used, not buried — for example the definition of NGR used in Exercise 3, and the fee-rounding tolerance used in Exercise 1.</w:t>
      </w:r>
    </w:p>
    <w:p>
      <w:pPr>
        <w:pStyle w:val="Heading2"/>
        <w:keepNext/>
        <w:keepLines/>
        <w:spacing w:after="150" w:before="300"/>
      </w:pPr>
      <w:r>
        <w:t xml:space="preserve">Contents</w:t>
      </w:r>
    </w:p>
    <w:p>
      <w:pPr>
        <w:pStyle w:val="ListParagraph"/>
        <w:numPr>
          <w:ilvl w:val="0"/>
          <w:numId w:val="2"/>
        </w:numPr>
        <w:spacing w:after="80"/>
      </w:pPr>
      <w:r>
        <w:t xml:space="preserve">Exercise 1 — Payment Gateway Reconciliation</w:t>
      </w:r>
    </w:p>
    <w:p>
      <w:pPr>
        <w:pStyle w:val="ListParagraph"/>
        <w:numPr>
          <w:ilvl w:val="0"/>
          <w:numId w:val="2"/>
        </w:numPr>
        <w:spacing w:after="80"/>
      </w:pPr>
      <w:r>
        <w:t xml:space="preserve">Exercise 2 — Incremental, Restartable API Ingestion</w:t>
      </w:r>
    </w:p>
    <w:p>
      <w:pPr>
        <w:pStyle w:val="ListParagraph"/>
        <w:numPr>
          <w:ilvl w:val="0"/>
          <w:numId w:val="2"/>
        </w:numPr>
        <w:spacing w:after="80"/>
      </w:pPr>
      <w:r>
        <w:t xml:space="preserve">Exercise 3 — Database Design: Players, Wallets, Bets, Bonuses</w:t>
      </w:r>
    </w:p>
    <w:p>
      <w:pPr>
        <w:pStyle w:val="ListParagraph"/>
        <w:numPr>
          <w:ilvl w:val="0"/>
          <w:numId w:val="2"/>
        </w:numPr>
        <w:spacing w:after="80"/>
      </w:pPr>
      <w:r>
        <w:t xml:space="preserve">Power BI — Reporting Data Model and Report</w:t>
      </w:r>
    </w:p>
    <w:p>
      <w:pPr>
        <w:pStyle w:val="Heading1"/>
        <w:pageBreakBefore/>
        <w:spacing w:after="200" w:before="400"/>
      </w:pPr>
      <w:r>
        <w:t xml:space="preserve">Exercise 1 — Payment Gateway Reconciliation</w:t>
      </w:r>
    </w:p>
    <w:p>
      <w:pPr>
        <w:spacing w:after="60"/>
      </w:pPr>
      <w:r>
        <w:rPr>
          <w:b/>
          <w:bCs/>
          <w:color w:val="0E7C7B"/>
          <w:sz w:val="26"/>
          <w:szCs w:val="26"/>
        </w:rPr>
        <w:t xml:space="preserve">Finance Manager summary</w:t>
      </w:r>
    </w:p>
    <w:p>
      <w:pPr>
        <w:spacing w:after="60"/>
      </w:pPr>
      <w:r>
        <w:rPr>
          <w:i/>
          <w:iCs/>
          <w:color w:val="595959"/>
          <w:sz w:val="18"/>
          <w:szCs w:val="18"/>
        </w:rPr>
        <w:t xml:space="preserve">Week 1–7 September 2026 (UTC) · NAD · internal_deposits (326 rows) vs gateway_settlement (306 rows)</w:t>
      </w:r>
    </w:p>
    <w:p>
      <w:pPr>
        <w:spacing w:after="80"/>
      </w:pPr>
      <w:r>
        <w:rPr>
          <w:b/>
          <w:bCs/>
          <w:sz w:val="20"/>
          <w:szCs w:val="20"/>
        </w:rPr>
        <w:t xml:space="preserve">274 of 306 gateway settlements (90%) match exactly </w:t>
      </w:r>
      <w:r>
        <w:rPr>
          <w:sz w:val="20"/>
          <w:szCs w:val="20"/>
        </w:rPr>
        <w:t xml:space="preserve">on reference, gross, fee and net. The 49 differences are 34 genuine breaks, 6 timing differences and 9 that are not a problem (exceptions.csv). The bridge from our R218,280.00 to the gateway's R217,979.97 leaves R0.00 unexplained; its two timing lines are provisional (see assumptions).</w:t>
      </w:r>
    </w:p>
    <w:p>
      <w:pPr>
        <w:spacing w:after="60" w:before="140"/>
      </w:pPr>
      <w:r>
        <w:rPr>
          <w:b/>
          <w:bCs/>
          <w:color w:val="0E7C7B"/>
          <w:sz w:val="22"/>
          <w:szCs w:val="22"/>
        </w:rPr>
        <w:t xml:space="preserve">Bridge on gross amounts: internal total → gateway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shd w:fill="1F3864" w:val="clear"/>
            <w:tcMar>
              <w:top w:type="dxa" w:w="25"/>
              <w:left w:type="dxa" w:w="90"/>
              <w:bottom w:type="dxa" w:w="25"/>
              <w:right w:type="dxa" w:w="90"/>
            </w:tcMar>
            <w:vAlign w:val="center"/>
          </w:tcPr>
          <w:p>
            <w:r>
              <w:rPr>
                <w:b/>
                <w:bCs/>
                <w:color w:val="FFFFFF"/>
                <w:sz w:val="18"/>
                <w:szCs w:val="18"/>
              </w:rPr>
              <w:t xml:space="preserve">Line</w:t>
            </w:r>
          </w:p>
        </w:tc>
        <w:tc>
          <w:tcPr>
            <w:tcW w:type="dxa" w:w="2000"/>
            <w:shd w:fill="1F3864" w:val="clear"/>
            <w:tcMar>
              <w:top w:type="dxa" w:w="25"/>
              <w:left w:type="dxa" w:w="90"/>
              <w:bottom w:type="dxa" w:w="25"/>
              <w:right w:type="dxa" w:w="90"/>
            </w:tcMar>
            <w:vAlign w:val="center"/>
          </w:tcPr>
          <w:p>
            <w:r>
              <w:rPr>
                <w:b/>
                <w:bCs/>
                <w:color w:val="FFFFFF"/>
                <w:sz w:val="18"/>
                <w:szCs w:val="18"/>
              </w:rPr>
              <w:t xml:space="preserve">NAD</w:t>
            </w:r>
          </w:p>
        </w:tc>
      </w:tr>
      <w:tr>
        <w:trPr>
          <w:cantSplit/>
        </w:trPr>
        <w:tc>
          <w:tcPr>
            <w:tcW w:type="dxa" w:w="7360"/>
            <w:tcMar>
              <w:top w:type="dxa" w:w="25"/>
              <w:left w:type="dxa" w:w="90"/>
              <w:bottom w:type="dxa" w:w="25"/>
              <w:right w:type="dxa" w:w="90"/>
            </w:tcMar>
            <w:vAlign w:val="center"/>
          </w:tcPr>
          <w:p>
            <w:r>
              <w:rPr>
                <w:b w:val="false"/>
                <w:bCs w:val="false"/>
                <w:sz w:val="18"/>
                <w:szCs w:val="18"/>
              </w:rPr>
              <w:t xml:space="preserve">Internal SUCCESS deposits, total</w:t>
            </w:r>
          </w:p>
        </w:tc>
        <w:tc>
          <w:tcPr>
            <w:tcW w:type="dxa" w:w="2000"/>
            <w:tcMar>
              <w:top w:type="dxa" w:w="25"/>
              <w:left w:type="dxa" w:w="90"/>
              <w:bottom w:type="dxa" w:w="25"/>
              <w:right w:type="dxa" w:w="90"/>
            </w:tcMar>
            <w:vAlign w:val="center"/>
          </w:tcPr>
          <w:p>
            <w:r>
              <w:rPr>
                <w:b w:val="false"/>
                <w:bCs w:val="false"/>
                <w:sz w:val="18"/>
                <w:szCs w:val="18"/>
              </w:rPr>
              <w:t xml:space="preserve">218,280.00</w:t>
            </w:r>
          </w:p>
        </w:tc>
      </w:tr>
      <w:tr>
        <w:trPr>
          <w:cantSplit/>
        </w:trPr>
        <w:tc>
          <w:tcPr>
            <w:tcW w:type="dxa" w:w="7360"/>
            <w:shd w:fill="EEF3F8" w:val="clear"/>
            <w:tcMar>
              <w:top w:type="dxa" w:w="25"/>
              <w:left w:type="dxa" w:w="90"/>
              <w:bottom w:type="dxa" w:w="25"/>
              <w:right w:type="dxa" w:w="90"/>
            </w:tcMar>
            <w:vAlign w:val="center"/>
          </w:tcPr>
          <w:p>
            <w:r>
              <w:rPr>
                <w:b w:val="false"/>
                <w:bCs w:val="false"/>
                <w:sz w:val="18"/>
                <w:szCs w:val="18"/>
              </w:rPr>
              <w:t xml:space="preserve">− Duplicate internal deposit rows (same settlement counted twice)</w:t>
            </w:r>
          </w:p>
        </w:tc>
        <w:tc>
          <w:tcPr>
            <w:tcW w:type="dxa" w:w="2000"/>
            <w:shd w:fill="EEF3F8" w:val="clear"/>
            <w:tcMar>
              <w:top w:type="dxa" w:w="25"/>
              <w:left w:type="dxa" w:w="90"/>
              <w:bottom w:type="dxa" w:w="25"/>
              <w:right w:type="dxa" w:w="90"/>
            </w:tcMar>
            <w:vAlign w:val="center"/>
          </w:tcPr>
          <w:p>
            <w:r>
              <w:rPr>
                <w:b w:val="false"/>
                <w:bCs w:val="false"/>
                <w:sz w:val="18"/>
                <w:szCs w:val="18"/>
              </w:rPr>
              <w:t xml:space="preserve">(1,300.00)</w:t>
            </w:r>
          </w:p>
        </w:tc>
      </w:tr>
      <w:tr>
        <w:trPr>
          <w:cantSplit/>
        </w:trPr>
        <w:tc>
          <w:tcPr>
            <w:tcW w:type="dxa" w:w="7360"/>
            <w:tcMar>
              <w:top w:type="dxa" w:w="25"/>
              <w:left w:type="dxa" w:w="90"/>
              <w:bottom w:type="dxa" w:w="25"/>
              <w:right w:type="dxa" w:w="90"/>
            </w:tcMar>
            <w:vAlign w:val="center"/>
          </w:tcPr>
          <w:p>
            <w:r>
              <w:rPr>
                <w:b w:val="false"/>
                <w:bCs w:val="false"/>
                <w:sz w:val="18"/>
                <w:szCs w:val="18"/>
              </w:rPr>
              <w:t xml:space="preserve">− Reversals / chargebacks (not in the gateway's SETTLED total)</w:t>
            </w:r>
          </w:p>
        </w:tc>
        <w:tc>
          <w:tcPr>
            <w:tcW w:type="dxa" w:w="2000"/>
            <w:tcMar>
              <w:top w:type="dxa" w:w="25"/>
              <w:left w:type="dxa" w:w="90"/>
              <w:bottom w:type="dxa" w:w="25"/>
              <w:right w:type="dxa" w:w="90"/>
            </w:tcMar>
            <w:vAlign w:val="center"/>
          </w:tcPr>
          <w:p>
            <w:r>
              <w:rPr>
                <w:b w:val="false"/>
                <w:bCs w:val="false"/>
                <w:sz w:val="18"/>
                <w:szCs w:val="18"/>
              </w:rPr>
              <w:t xml:space="preserve">(850.00)</w:t>
            </w:r>
          </w:p>
        </w:tc>
      </w:tr>
      <w:tr>
        <w:trPr>
          <w:cantSplit/>
        </w:trPr>
        <w:tc>
          <w:tcPr>
            <w:tcW w:type="dxa" w:w="7360"/>
            <w:shd w:fill="EEF3F8" w:val="clear"/>
            <w:tcMar>
              <w:top w:type="dxa" w:w="25"/>
              <w:left w:type="dxa" w:w="90"/>
              <w:bottom w:type="dxa" w:w="25"/>
              <w:right w:type="dxa" w:w="90"/>
            </w:tcMar>
            <w:vAlign w:val="center"/>
          </w:tcPr>
          <w:p>
            <w:r>
              <w:rPr>
                <w:b w:val="false"/>
                <w:bCs w:val="false"/>
                <w:sz w:val="18"/>
                <w:szCs w:val="18"/>
              </w:rPr>
              <w:t xml:space="preserve">− Deposits with no settlement yet (mid-week)</w:t>
            </w:r>
          </w:p>
        </w:tc>
        <w:tc>
          <w:tcPr>
            <w:tcW w:type="dxa" w:w="2000"/>
            <w:shd w:fill="EEF3F8" w:val="clear"/>
            <w:tcMar>
              <w:top w:type="dxa" w:w="25"/>
              <w:left w:type="dxa" w:w="90"/>
              <w:bottom w:type="dxa" w:w="25"/>
              <w:right w:type="dxa" w:w="90"/>
            </w:tcMar>
            <w:vAlign w:val="center"/>
          </w:tcPr>
          <w:p>
            <w:r>
              <w:rPr>
                <w:b w:val="false"/>
                <w:bCs w:val="false"/>
                <w:sz w:val="18"/>
                <w:szCs w:val="18"/>
              </w:rPr>
              <w:t xml:space="preserve">(2,700.00)</w:t>
            </w:r>
          </w:p>
        </w:tc>
      </w:tr>
      <w:tr>
        <w:trPr>
          <w:cantSplit/>
        </w:trPr>
        <w:tc>
          <w:tcPr>
            <w:tcW w:type="dxa" w:w="7360"/>
            <w:tcMar>
              <w:top w:type="dxa" w:w="25"/>
              <w:left w:type="dxa" w:w="90"/>
              <w:bottom w:type="dxa" w:w="25"/>
              <w:right w:type="dxa" w:w="90"/>
            </w:tcMar>
            <w:vAlign w:val="center"/>
          </w:tcPr>
          <w:p>
            <w:r>
              <w:rPr>
                <w:b w:val="false"/>
                <w:bCs w:val="false"/>
                <w:sz w:val="18"/>
                <w:szCs w:val="18"/>
              </w:rPr>
              <w:t xml:space="preserve">− Created in the last 15 min, not yet settled (provisional)</w:t>
            </w:r>
          </w:p>
        </w:tc>
        <w:tc>
          <w:tcPr>
            <w:tcW w:type="dxa" w:w="2000"/>
            <w:tcMar>
              <w:top w:type="dxa" w:w="25"/>
              <w:left w:type="dxa" w:w="90"/>
              <w:bottom w:type="dxa" w:w="25"/>
              <w:right w:type="dxa" w:w="90"/>
            </w:tcMar>
            <w:vAlign w:val="center"/>
          </w:tcPr>
          <w:p>
            <w:r>
              <w:rPr>
                <w:b w:val="false"/>
                <w:bCs w:val="false"/>
                <w:sz w:val="18"/>
                <w:szCs w:val="18"/>
              </w:rPr>
              <w:t xml:space="preserve">(3,650.00)</w:t>
            </w:r>
          </w:p>
        </w:tc>
      </w:tr>
      <w:tr>
        <w:trPr>
          <w:cantSplit/>
        </w:trPr>
        <w:tc>
          <w:tcPr>
            <w:tcW w:type="dxa" w:w="7360"/>
            <w:shd w:fill="EEF3F8" w:val="clear"/>
            <w:tcMar>
              <w:top w:type="dxa" w:w="25"/>
              <w:left w:type="dxa" w:w="90"/>
              <w:bottom w:type="dxa" w:w="25"/>
              <w:right w:type="dxa" w:w="90"/>
            </w:tcMar>
            <w:vAlign w:val="center"/>
          </w:tcPr>
          <w:p>
            <w:r>
              <w:rPr>
                <w:b w:val="false"/>
                <w:bCs w:val="false"/>
                <w:sz w:val="18"/>
                <w:szCs w:val="18"/>
              </w:rPr>
              <w:t xml:space="preserve">+ Settled in the first 15 min, no deposit this week (provisional)</w:t>
            </w:r>
          </w:p>
        </w:tc>
        <w:tc>
          <w:tcPr>
            <w:tcW w:type="dxa" w:w="2000"/>
            <w:shd w:fill="EEF3F8" w:val="clear"/>
            <w:tcMar>
              <w:top w:type="dxa" w:w="25"/>
              <w:left w:type="dxa" w:w="90"/>
              <w:bottom w:type="dxa" w:w="25"/>
              <w:right w:type="dxa" w:w="90"/>
            </w:tcMar>
            <w:vAlign w:val="center"/>
          </w:tcPr>
          <w:p>
            <w:r>
              <w:rPr>
                <w:b w:val="false"/>
                <w:bCs w:val="false"/>
                <w:sz w:val="18"/>
                <w:szCs w:val="18"/>
              </w:rPr>
              <w:t xml:space="preserve">2,600.00</w:t>
            </w:r>
          </w:p>
        </w:tc>
      </w:tr>
      <w:tr>
        <w:trPr>
          <w:cantSplit/>
        </w:trPr>
        <w:tc>
          <w:tcPr>
            <w:tcW w:type="dxa" w:w="7360"/>
            <w:tcMar>
              <w:top w:type="dxa" w:w="25"/>
              <w:left w:type="dxa" w:w="90"/>
              <w:bottom w:type="dxa" w:w="25"/>
              <w:right w:type="dxa" w:w="90"/>
            </w:tcMar>
            <w:vAlign w:val="center"/>
          </w:tcPr>
          <w:p>
            <w:r>
              <w:rPr>
                <w:b w:val="false"/>
                <w:bCs w:val="false"/>
                <w:sz w:val="18"/>
                <w:szCs w:val="18"/>
              </w:rPr>
              <w:t xml:space="preserve">+ Settlements with no internal record</w:t>
            </w:r>
          </w:p>
        </w:tc>
        <w:tc>
          <w:tcPr>
            <w:tcW w:type="dxa" w:w="2000"/>
            <w:tcMar>
              <w:top w:type="dxa" w:w="25"/>
              <w:left w:type="dxa" w:w="90"/>
              <w:bottom w:type="dxa" w:w="25"/>
              <w:right w:type="dxa" w:w="90"/>
            </w:tcMar>
            <w:vAlign w:val="center"/>
          </w:tcPr>
          <w:p>
            <w:r>
              <w:rPr>
                <w:b w:val="false"/>
                <w:bCs w:val="false"/>
                <w:sz w:val="18"/>
                <w:szCs w:val="18"/>
              </w:rPr>
              <w:t xml:space="preserve">2,900.00</w:t>
            </w:r>
          </w:p>
        </w:tc>
      </w:tr>
      <w:tr>
        <w:trPr>
          <w:cantSplit/>
        </w:trPr>
        <w:tc>
          <w:tcPr>
            <w:tcW w:type="dxa" w:w="7360"/>
            <w:shd w:fill="EEF3F8" w:val="clear"/>
            <w:tcMar>
              <w:top w:type="dxa" w:w="25"/>
              <w:left w:type="dxa" w:w="90"/>
              <w:bottom w:type="dxa" w:w="25"/>
              <w:right w:type="dxa" w:w="90"/>
            </w:tcMar>
            <w:vAlign w:val="center"/>
          </w:tcPr>
          <w:p>
            <w:r>
              <w:rPr>
                <w:b w:val="false"/>
                <w:bCs w:val="false"/>
                <w:sz w:val="18"/>
                <w:szCs w:val="18"/>
              </w:rPr>
              <w:t xml:space="preserve">+ Settled by the gateway but marked FAILED by us</w:t>
            </w:r>
          </w:p>
        </w:tc>
        <w:tc>
          <w:tcPr>
            <w:tcW w:type="dxa" w:w="2000"/>
            <w:shd w:fill="EEF3F8" w:val="clear"/>
            <w:tcMar>
              <w:top w:type="dxa" w:w="25"/>
              <w:left w:type="dxa" w:w="90"/>
              <w:bottom w:type="dxa" w:w="25"/>
              <w:right w:type="dxa" w:w="90"/>
            </w:tcMar>
            <w:vAlign w:val="center"/>
          </w:tcPr>
          <w:p>
            <w:r>
              <w:rPr>
                <w:b w:val="false"/>
                <w:bCs w:val="false"/>
                <w:sz w:val="18"/>
                <w:szCs w:val="18"/>
              </w:rPr>
              <w:t xml:space="preserve">250.00</w:t>
            </w:r>
          </w:p>
        </w:tc>
      </w:tr>
      <w:tr>
        <w:trPr>
          <w:cantSplit/>
        </w:trPr>
        <w:tc>
          <w:tcPr>
            <w:tcW w:type="dxa" w:w="7360"/>
            <w:tcMar>
              <w:top w:type="dxa" w:w="25"/>
              <w:left w:type="dxa" w:w="90"/>
              <w:bottom w:type="dxa" w:w="25"/>
              <w:right w:type="dxa" w:w="90"/>
            </w:tcMar>
            <w:vAlign w:val="center"/>
          </w:tcPr>
          <w:p>
            <w:r>
              <w:rPr>
                <w:b w:val="false"/>
                <w:bCs w:val="false"/>
                <w:sz w:val="18"/>
                <w:szCs w:val="18"/>
              </w:rPr>
              <w:t xml:space="preserve">+ Duplicate gateway settlement rows</w:t>
            </w:r>
          </w:p>
        </w:tc>
        <w:tc>
          <w:tcPr>
            <w:tcW w:type="dxa" w:w="2000"/>
            <w:tcMar>
              <w:top w:type="dxa" w:w="25"/>
              <w:left w:type="dxa" w:w="90"/>
              <w:bottom w:type="dxa" w:w="25"/>
              <w:right w:type="dxa" w:w="90"/>
            </w:tcMar>
            <w:vAlign w:val="center"/>
          </w:tcPr>
          <w:p>
            <w:r>
              <w:rPr>
                <w:b w:val="false"/>
                <w:bCs w:val="false"/>
                <w:sz w:val="18"/>
                <w:szCs w:val="18"/>
              </w:rPr>
              <w:t xml:space="preserve">1,550.00</w:t>
            </w:r>
          </w:p>
        </w:tc>
      </w:tr>
      <w:tr>
        <w:trPr>
          <w:cantSplit/>
        </w:trPr>
        <w:tc>
          <w:tcPr>
            <w:tcW w:type="dxa" w:w="7360"/>
            <w:shd w:fill="EEF3F8" w:val="clear"/>
            <w:tcMar>
              <w:top w:type="dxa" w:w="25"/>
              <w:left w:type="dxa" w:w="90"/>
              <w:bottom w:type="dxa" w:w="25"/>
              <w:right w:type="dxa" w:w="90"/>
            </w:tcMar>
            <w:vAlign w:val="center"/>
          </w:tcPr>
          <w:p>
            <w:r>
              <w:rPr>
                <w:b w:val="false"/>
                <w:bCs w:val="false"/>
                <w:sz w:val="18"/>
                <w:szCs w:val="18"/>
              </w:rPr>
              <w:t xml:space="preserve">+/− Gross amount differences with the gateway (net)</w:t>
            </w:r>
          </w:p>
        </w:tc>
        <w:tc>
          <w:tcPr>
            <w:tcW w:type="dxa" w:w="2000"/>
            <w:shd w:fill="EEF3F8" w:val="clear"/>
            <w:tcMar>
              <w:top w:type="dxa" w:w="25"/>
              <w:left w:type="dxa" w:w="90"/>
              <w:bottom w:type="dxa" w:w="25"/>
              <w:right w:type="dxa" w:w="90"/>
            </w:tcMar>
            <w:vAlign w:val="center"/>
          </w:tcPr>
          <w:p>
            <w:r>
              <w:rPr>
                <w:b w:val="false"/>
                <w:bCs w:val="false"/>
                <w:sz w:val="18"/>
                <w:szCs w:val="18"/>
              </w:rPr>
              <w:t xml:space="preserve">900.00</w:t>
            </w:r>
          </w:p>
        </w:tc>
      </w:tr>
      <w:tr>
        <w:trPr>
          <w:cantSplit/>
        </w:trPr>
        <w:tc>
          <w:tcPr>
            <w:tcW w:type="dxa" w:w="7360"/>
            <w:tcMar>
              <w:top w:type="dxa" w:w="25"/>
              <w:left w:type="dxa" w:w="90"/>
              <w:bottom w:type="dxa" w:w="25"/>
              <w:right w:type="dxa" w:w="90"/>
            </w:tcMar>
            <w:vAlign w:val="center"/>
          </w:tcPr>
          <w:p>
            <w:r>
              <w:rPr>
                <w:b w:val="false"/>
                <w:bCs w:val="false"/>
                <w:sz w:val="18"/>
                <w:szCs w:val="18"/>
              </w:rPr>
              <w:t xml:space="preserve">+/− Rounding (exactly 1 cent on 3 rows)</w:t>
            </w:r>
          </w:p>
        </w:tc>
        <w:tc>
          <w:tcPr>
            <w:tcW w:type="dxa" w:w="2000"/>
            <w:tcMar>
              <w:top w:type="dxa" w:w="25"/>
              <w:left w:type="dxa" w:w="90"/>
              <w:bottom w:type="dxa" w:w="25"/>
              <w:right w:type="dxa" w:w="90"/>
            </w:tcMar>
            <w:vAlign w:val="center"/>
          </w:tcPr>
          <w:p>
            <w:r>
              <w:rPr>
                <w:b w:val="false"/>
                <w:bCs w:val="false"/>
                <w:sz w:val="18"/>
                <w:szCs w:val="18"/>
              </w:rPr>
              <w:t xml:space="preserve">(0.03)</w:t>
            </w:r>
          </w:p>
        </w:tc>
      </w:tr>
      <w:tr>
        <w:trPr>
          <w:cantSplit/>
        </w:trPr>
        <w:tc>
          <w:tcPr>
            <w:tcW w:type="dxa" w:w="7360"/>
            <w:shd w:fill="EEF3F8" w:val="clear"/>
            <w:tcMar>
              <w:top w:type="dxa" w:w="25"/>
              <w:left w:type="dxa" w:w="90"/>
              <w:bottom w:type="dxa" w:w="25"/>
              <w:right w:type="dxa" w:w="90"/>
            </w:tcMar>
            <w:vAlign w:val="center"/>
          </w:tcPr>
          <w:p>
            <w:r>
              <w:rPr>
                <w:b/>
                <w:bCs/>
                <w:sz w:val="18"/>
                <w:szCs w:val="18"/>
              </w:rPr>
              <w:t xml:space="preserve">= Gateway SETTLED total</w:t>
            </w:r>
          </w:p>
        </w:tc>
        <w:tc>
          <w:tcPr>
            <w:tcW w:type="dxa" w:w="2000"/>
            <w:shd w:fill="EEF3F8" w:val="clear"/>
            <w:tcMar>
              <w:top w:type="dxa" w:w="25"/>
              <w:left w:type="dxa" w:w="90"/>
              <w:bottom w:type="dxa" w:w="25"/>
              <w:right w:type="dxa" w:w="90"/>
            </w:tcMar>
            <w:vAlign w:val="center"/>
          </w:tcPr>
          <w:p>
            <w:r>
              <w:rPr>
                <w:b/>
                <w:bCs/>
                <w:sz w:val="18"/>
                <w:szCs w:val="18"/>
              </w:rPr>
              <w:t xml:space="preserve">217,979.97</w:t>
            </w:r>
          </w:p>
        </w:tc>
      </w:tr>
      <w:tr>
        <w:trPr>
          <w:cantSplit/>
        </w:trPr>
        <w:tc>
          <w:tcPr>
            <w:tcW w:type="dxa" w:w="7360"/>
            <w:tcMar>
              <w:top w:type="dxa" w:w="25"/>
              <w:left w:type="dxa" w:w="90"/>
              <w:bottom w:type="dxa" w:w="25"/>
              <w:right w:type="dxa" w:w="90"/>
            </w:tcMar>
            <w:vAlign w:val="center"/>
          </w:tcPr>
          <w:p>
            <w:r>
              <w:rPr>
                <w:b/>
                <w:bCs/>
                <w:sz w:val="18"/>
                <w:szCs w:val="18"/>
              </w:rPr>
              <w:t xml:space="preserve">Residual (unexplained)</w:t>
            </w:r>
          </w:p>
        </w:tc>
        <w:tc>
          <w:tcPr>
            <w:tcW w:type="dxa" w:w="2000"/>
            <w:tcMar>
              <w:top w:type="dxa" w:w="25"/>
              <w:left w:type="dxa" w:w="90"/>
              <w:bottom w:type="dxa" w:w="25"/>
              <w:right w:type="dxa" w:w="90"/>
            </w:tcMar>
            <w:vAlign w:val="center"/>
          </w:tcPr>
          <w:p>
            <w:r>
              <w:rPr>
                <w:b/>
                <w:bCs/>
                <w:sz w:val="18"/>
                <w:szCs w:val="18"/>
              </w:rPr>
              <w:t xml:space="preserve">0.00</w:t>
            </w:r>
          </w:p>
        </w:tc>
      </w:tr>
    </w:tbl>
    <w:p>
      <w:pPr>
        <w:spacing w:after="60" w:before="140"/>
      </w:pPr>
      <w:r>
        <w:rPr>
          <w:b/>
          <w:bCs/>
          <w:color w:val="0E7C7B"/>
          <w:sz w:val="22"/>
          <w:szCs w:val="22"/>
        </w:rPr>
        <w:t xml:space="preserve">Priority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960"/>
        <w:gridCol w:w="1100"/>
        <w:gridCol w:w="1500"/>
      </w:tblGrid>
      <w:tr>
        <w:trPr>
          <w:tblHeader/>
        </w:trPr>
        <w:tc>
          <w:tcPr>
            <w:tcW w:type="dxa" w:w="800"/>
            <w:shd w:fill="1F3864" w:val="clear"/>
            <w:tcMar>
              <w:top w:type="dxa" w:w="25"/>
              <w:left w:type="dxa" w:w="90"/>
              <w:bottom w:type="dxa" w:w="25"/>
              <w:right w:type="dxa" w:w="90"/>
            </w:tcMar>
            <w:vAlign w:val="center"/>
          </w:tcPr>
          <w:p>
            <w:r>
              <w:rPr>
                <w:b/>
                <w:bCs/>
                <w:color w:val="FFFFFF"/>
                <w:sz w:val="18"/>
                <w:szCs w:val="18"/>
              </w:rPr>
              <w:t xml:space="preserve">When</w:t>
            </w:r>
          </w:p>
        </w:tc>
        <w:tc>
          <w:tcPr>
            <w:tcW w:type="dxa" w:w="5960"/>
            <w:shd w:fill="1F3864" w:val="clear"/>
            <w:tcMar>
              <w:top w:type="dxa" w:w="25"/>
              <w:left w:type="dxa" w:w="90"/>
              <w:bottom w:type="dxa" w:w="25"/>
              <w:right w:type="dxa" w:w="90"/>
            </w:tcMar>
            <w:vAlign w:val="center"/>
          </w:tcPr>
          <w:p>
            <w:r>
              <w:rPr>
                <w:b/>
                <w:bCs/>
                <w:color w:val="FFFFFF"/>
                <w:sz w:val="18"/>
                <w:szCs w:val="18"/>
              </w:rPr>
              <w:t xml:space="preserve">Action</w:t>
            </w:r>
          </w:p>
        </w:tc>
        <w:tc>
          <w:tcPr>
            <w:tcW w:type="dxa" w:w="1100"/>
            <w:shd w:fill="1F3864" w:val="clear"/>
            <w:tcMar>
              <w:top w:type="dxa" w:w="25"/>
              <w:left w:type="dxa" w:w="90"/>
              <w:bottom w:type="dxa" w:w="25"/>
              <w:right w:type="dxa" w:w="90"/>
            </w:tcMar>
            <w:vAlign w:val="center"/>
          </w:tcPr>
          <w:p>
            <w:r>
              <w:rPr>
                <w:b/>
                <w:bCs/>
                <w:color w:val="FFFFFF"/>
                <w:sz w:val="18"/>
                <w:szCs w:val="18"/>
              </w:rPr>
              <w:t xml:space="preserve">Owner</w:t>
            </w:r>
          </w:p>
        </w:tc>
        <w:tc>
          <w:tcPr>
            <w:tcW w:type="dxa" w:w="1500"/>
            <w:shd w:fill="1F3864" w:val="clear"/>
            <w:tcMar>
              <w:top w:type="dxa" w:w="25"/>
              <w:left w:type="dxa" w:w="90"/>
              <w:bottom w:type="dxa" w:w="25"/>
              <w:right w:type="dxa" w:w="90"/>
            </w:tcMar>
            <w:vAlign w:val="center"/>
          </w:tcPr>
          <w:p>
            <w:r>
              <w:rPr>
                <w:b/>
                <w:bCs/>
                <w:color w:val="FFFFFF"/>
                <w:sz w:val="18"/>
                <w:szCs w:val="18"/>
              </w:rPr>
              <w:t xml:space="preserve">NAD</w:t>
            </w:r>
          </w:p>
        </w:tc>
      </w:tr>
      <w:tr>
        <w:trPr>
          <w:cantSplit/>
        </w:trPr>
        <w:tc>
          <w:tcPr>
            <w:tcW w:type="dxa" w:w="800"/>
            <w:tcMar>
              <w:top w:type="dxa" w:w="25"/>
              <w:left w:type="dxa" w:w="90"/>
              <w:bottom w:type="dxa" w:w="25"/>
              <w:right w:type="dxa" w:w="90"/>
            </w:tcMar>
            <w:vAlign w:val="center"/>
          </w:tcPr>
          <w:p>
            <w:r>
              <w:rPr>
                <w:b w:val="false"/>
                <w:bCs w:val="false"/>
                <w:sz w:val="18"/>
                <w:szCs w:val="18"/>
              </w:rPr>
              <w:t xml:space="preserve">Today</w:t>
            </w:r>
          </w:p>
        </w:tc>
        <w:tc>
          <w:tcPr>
            <w:tcW w:type="dxa" w:w="5960"/>
            <w:tcMar>
              <w:top w:type="dxa" w:w="25"/>
              <w:left w:type="dxa" w:w="90"/>
              <w:bottom w:type="dxa" w:w="25"/>
              <w:right w:type="dxa" w:w="90"/>
            </w:tcMar>
            <w:vAlign w:val="center"/>
          </w:tcPr>
          <w:p>
            <w:r>
              <w:rPr>
                <w:b w:val="false"/>
                <w:bCs w:val="false"/>
                <w:sz w:val="18"/>
                <w:szCs w:val="18"/>
              </w:rPr>
              <w:t xml:space="preserve">Re-credit 2 players: marked FAILED by us, settled by the gateway</w:t>
            </w:r>
          </w:p>
        </w:tc>
        <w:tc>
          <w:tcPr>
            <w:tcW w:type="dxa" w:w="1100"/>
            <w:tcMar>
              <w:top w:type="dxa" w:w="25"/>
              <w:left w:type="dxa" w:w="90"/>
              <w:bottom w:type="dxa" w:w="25"/>
              <w:right w:type="dxa" w:w="90"/>
            </w:tcMar>
            <w:vAlign w:val="center"/>
          </w:tcPr>
          <w:p>
            <w:r>
              <w:rPr>
                <w:b w:val="false"/>
                <w:bCs w:val="false"/>
                <w:sz w:val="18"/>
                <w:szCs w:val="18"/>
              </w:rPr>
              <w:t xml:space="preserve">Payments</w:t>
            </w:r>
          </w:p>
        </w:tc>
        <w:tc>
          <w:tcPr>
            <w:tcW w:type="dxa" w:w="1500"/>
            <w:tcMar>
              <w:top w:type="dxa" w:w="25"/>
              <w:left w:type="dxa" w:w="90"/>
              <w:bottom w:type="dxa" w:w="25"/>
              <w:right w:type="dxa" w:w="90"/>
            </w:tcMar>
            <w:vAlign w:val="center"/>
          </w:tcPr>
          <w:p>
            <w:r>
              <w:rPr>
                <w:b w:val="false"/>
                <w:bCs w:val="false"/>
                <w:sz w:val="18"/>
                <w:szCs w:val="18"/>
              </w:rPr>
              <w:t xml:space="preserve">250.00</w:t>
            </w:r>
          </w:p>
        </w:tc>
      </w:tr>
      <w:tr>
        <w:trPr>
          <w:cantSplit/>
        </w:trPr>
        <w:tc>
          <w:tcPr>
            <w:tcW w:type="dxa" w:w="800"/>
            <w:shd w:fill="EEF3F8" w:val="clear"/>
            <w:tcMar>
              <w:top w:type="dxa" w:w="25"/>
              <w:left w:type="dxa" w:w="90"/>
              <w:bottom w:type="dxa" w:w="25"/>
              <w:right w:type="dxa" w:w="90"/>
            </w:tcMar>
            <w:vAlign w:val="center"/>
          </w:tcPr>
          <w:p>
            <w:r>
              <w:rPr>
                <w:b w:val="false"/>
                <w:bCs w:val="false"/>
                <w:sz w:val="18"/>
                <w:szCs w:val="18"/>
              </w:rPr>
              <w:t xml:space="preserve">Today</w:t>
            </w:r>
          </w:p>
        </w:tc>
        <w:tc>
          <w:tcPr>
            <w:tcW w:type="dxa" w:w="5960"/>
            <w:shd w:fill="EEF3F8" w:val="clear"/>
            <w:tcMar>
              <w:top w:type="dxa" w:w="25"/>
              <w:left w:type="dxa" w:w="90"/>
              <w:bottom w:type="dxa" w:w="25"/>
              <w:right w:type="dxa" w:w="90"/>
            </w:tcMar>
            <w:vAlign w:val="center"/>
          </w:tcPr>
          <w:p>
            <w:r>
              <w:rPr>
                <w:b w:val="false"/>
                <w:bCs w:val="false"/>
                <w:sz w:val="18"/>
                <w:szCs w:val="18"/>
              </w:rPr>
              <w:t xml:space="preserve">Get gateway detail for 4 unrecognised settlements (GW-000301 to 304)</w:t>
            </w:r>
          </w:p>
        </w:tc>
        <w:tc>
          <w:tcPr>
            <w:tcW w:type="dxa" w:w="1100"/>
            <w:shd w:fill="EEF3F8" w:val="clear"/>
            <w:tcMar>
              <w:top w:type="dxa" w:w="25"/>
              <w:left w:type="dxa" w:w="90"/>
              <w:bottom w:type="dxa" w:w="25"/>
              <w:right w:type="dxa" w:w="90"/>
            </w:tcMar>
            <w:vAlign w:val="center"/>
          </w:tcPr>
          <w:p>
            <w:r>
              <w:rPr>
                <w:b w:val="false"/>
                <w:bCs w:val="false"/>
                <w:sz w:val="18"/>
                <w:szCs w:val="18"/>
              </w:rPr>
              <w:t xml:space="preserve">Payments</w:t>
            </w:r>
          </w:p>
        </w:tc>
        <w:tc>
          <w:tcPr>
            <w:tcW w:type="dxa" w:w="1500"/>
            <w:shd w:fill="EEF3F8" w:val="clear"/>
            <w:tcMar>
              <w:top w:type="dxa" w:w="25"/>
              <w:left w:type="dxa" w:w="90"/>
              <w:bottom w:type="dxa" w:w="25"/>
              <w:right w:type="dxa" w:w="90"/>
            </w:tcMar>
            <w:vAlign w:val="center"/>
          </w:tcPr>
          <w:p>
            <w:r>
              <w:rPr>
                <w:b w:val="false"/>
                <w:bCs w:val="false"/>
                <w:sz w:val="18"/>
                <w:szCs w:val="18"/>
              </w:rPr>
              <w:t xml:space="preserve">2,900.00</w:t>
            </w:r>
          </w:p>
        </w:tc>
      </w:tr>
      <w:tr>
        <w:trPr>
          <w:cantSplit/>
        </w:trPr>
        <w:tc>
          <w:tcPr>
            <w:tcW w:type="dxa" w:w="800"/>
            <w:tcMar>
              <w:top w:type="dxa" w:w="25"/>
              <w:left w:type="dxa" w:w="90"/>
              <w:bottom w:type="dxa" w:w="25"/>
              <w:right w:type="dxa" w:w="90"/>
            </w:tcMar>
            <w:vAlign w:val="center"/>
          </w:tcPr>
          <w:p>
            <w:r>
              <w:rPr>
                <w:b w:val="false"/>
                <w:bCs w:val="false"/>
                <w:sz w:val="18"/>
                <w:szCs w:val="18"/>
              </w:rPr>
              <w:t xml:space="preserve">Week</w:t>
            </w:r>
          </w:p>
        </w:tc>
        <w:tc>
          <w:tcPr>
            <w:tcW w:type="dxa" w:w="5960"/>
            <w:tcMar>
              <w:top w:type="dxa" w:w="25"/>
              <w:left w:type="dxa" w:w="90"/>
              <w:bottom w:type="dxa" w:w="25"/>
              <w:right w:type="dxa" w:w="90"/>
            </w:tcMar>
            <w:vAlign w:val="center"/>
          </w:tcPr>
          <w:p>
            <w:r>
              <w:rPr>
                <w:b w:val="false"/>
                <w:bCs w:val="false"/>
                <w:sz w:val="18"/>
                <w:szCs w:val="18"/>
              </w:rPr>
              <w:t xml:space="preserve">Dispute 4 gross differences (3 players under-credited R950, 1 over R50)</w:t>
            </w:r>
          </w:p>
        </w:tc>
        <w:tc>
          <w:tcPr>
            <w:tcW w:type="dxa" w:w="1100"/>
            <w:tcMar>
              <w:top w:type="dxa" w:w="25"/>
              <w:left w:type="dxa" w:w="90"/>
              <w:bottom w:type="dxa" w:w="25"/>
              <w:right w:type="dxa" w:w="90"/>
            </w:tcMar>
            <w:vAlign w:val="center"/>
          </w:tcPr>
          <w:p>
            <w:r>
              <w:rPr>
                <w:b w:val="false"/>
                <w:bCs w:val="false"/>
                <w:sz w:val="18"/>
                <w:szCs w:val="18"/>
              </w:rPr>
              <w:t xml:space="preserve">Finance</w:t>
            </w:r>
          </w:p>
        </w:tc>
        <w:tc>
          <w:tcPr>
            <w:tcW w:type="dxa" w:w="1500"/>
            <w:tcMar>
              <w:top w:type="dxa" w:w="25"/>
              <w:left w:type="dxa" w:w="90"/>
              <w:bottom w:type="dxa" w:w="25"/>
              <w:right w:type="dxa" w:w="90"/>
            </w:tcMar>
            <w:vAlign w:val="center"/>
          </w:tcPr>
          <w:p>
            <w:r>
              <w:rPr>
                <w:b w:val="false"/>
                <w:bCs w:val="false"/>
                <w:sz w:val="18"/>
                <w:szCs w:val="18"/>
              </w:rPr>
              <w:t xml:space="preserve">900.00 net</w:t>
            </w:r>
          </w:p>
        </w:tc>
      </w:tr>
      <w:tr>
        <w:trPr>
          <w:cantSplit/>
        </w:trPr>
        <w:tc>
          <w:tcPr>
            <w:tcW w:type="dxa" w:w="800"/>
            <w:shd w:fill="EEF3F8" w:val="clear"/>
            <w:tcMar>
              <w:top w:type="dxa" w:w="25"/>
              <w:left w:type="dxa" w:w="90"/>
              <w:bottom w:type="dxa" w:w="25"/>
              <w:right w:type="dxa" w:w="90"/>
            </w:tcMar>
            <w:vAlign w:val="center"/>
          </w:tcPr>
          <w:p>
            <w:r>
              <w:rPr>
                <w:b w:val="false"/>
                <w:bCs w:val="false"/>
                <w:sz w:val="18"/>
                <w:szCs w:val="18"/>
              </w:rPr>
              <w:t xml:space="preserve">Week</w:t>
            </w:r>
          </w:p>
        </w:tc>
        <w:tc>
          <w:tcPr>
            <w:tcW w:type="dxa" w:w="5960"/>
            <w:shd w:fill="EEF3F8" w:val="clear"/>
            <w:tcMar>
              <w:top w:type="dxa" w:w="25"/>
              <w:left w:type="dxa" w:w="90"/>
              <w:bottom w:type="dxa" w:w="25"/>
              <w:right w:type="dxa" w:w="90"/>
            </w:tcMar>
            <w:vAlign w:val="center"/>
          </w:tcPr>
          <w:p>
            <w:r>
              <w:rPr>
                <w:b w:val="false"/>
                <w:bCs w:val="false"/>
                <w:sz w:val="18"/>
                <w:szCs w:val="18"/>
              </w:rPr>
              <w:t xml:space="preserve">Claim fee overcharges (4) and short-paid nets (2)</w:t>
            </w:r>
          </w:p>
        </w:tc>
        <w:tc>
          <w:tcPr>
            <w:tcW w:type="dxa" w:w="1100"/>
            <w:shd w:fill="EEF3F8" w:val="clear"/>
            <w:tcMar>
              <w:top w:type="dxa" w:w="25"/>
              <w:left w:type="dxa" w:w="90"/>
              <w:bottom w:type="dxa" w:w="25"/>
              <w:right w:type="dxa" w:w="90"/>
            </w:tcMar>
            <w:vAlign w:val="center"/>
          </w:tcPr>
          <w:p>
            <w:r>
              <w:rPr>
                <w:b w:val="false"/>
                <w:bCs w:val="false"/>
                <w:sz w:val="18"/>
                <w:szCs w:val="18"/>
              </w:rPr>
              <w:t xml:space="preserve">Finance</w:t>
            </w:r>
          </w:p>
        </w:tc>
        <w:tc>
          <w:tcPr>
            <w:tcW w:type="dxa" w:w="1500"/>
            <w:shd w:fill="EEF3F8" w:val="clear"/>
            <w:tcMar>
              <w:top w:type="dxa" w:w="25"/>
              <w:left w:type="dxa" w:w="90"/>
              <w:bottom w:type="dxa" w:w="25"/>
              <w:right w:type="dxa" w:w="90"/>
            </w:tcMar>
            <w:vAlign w:val="center"/>
          </w:tcPr>
          <w:p>
            <w:r>
              <w:rPr>
                <w:b w:val="false"/>
                <w:bCs w:val="false"/>
                <w:sz w:val="18"/>
                <w:szCs w:val="18"/>
              </w:rPr>
              <w:t xml:space="preserve">7.75</w:t>
            </w:r>
          </w:p>
        </w:tc>
      </w:tr>
      <w:tr>
        <w:trPr>
          <w:cantSplit/>
        </w:trPr>
        <w:tc>
          <w:tcPr>
            <w:tcW w:type="dxa" w:w="800"/>
            <w:tcMar>
              <w:top w:type="dxa" w:w="25"/>
              <w:left w:type="dxa" w:w="90"/>
              <w:bottom w:type="dxa" w:w="25"/>
              <w:right w:type="dxa" w:w="90"/>
            </w:tcMar>
            <w:vAlign w:val="center"/>
          </w:tcPr>
          <w:p>
            <w:r>
              <w:rPr>
                <w:b w:val="false"/>
                <w:bCs w:val="false"/>
                <w:sz w:val="18"/>
                <w:szCs w:val="18"/>
              </w:rPr>
              <w:t xml:space="preserve">Week</w:t>
            </w:r>
          </w:p>
        </w:tc>
        <w:tc>
          <w:tcPr>
            <w:tcW w:type="dxa" w:w="5960"/>
            <w:tcMar>
              <w:top w:type="dxa" w:w="25"/>
              <w:left w:type="dxa" w:w="90"/>
              <w:bottom w:type="dxa" w:w="25"/>
              <w:right w:type="dxa" w:w="90"/>
            </w:tcMar>
            <w:vAlign w:val="center"/>
          </w:tcPr>
          <w:p>
            <w:r>
              <w:rPr>
                <w:b w:val="false"/>
                <w:bCs w:val="false"/>
                <w:sz w:val="18"/>
                <w:szCs w:val="18"/>
              </w:rPr>
              <w:t xml:space="preserve">Did 2 duplicate settlements pay twice? Audit 3 duplicate deposits</w:t>
            </w:r>
          </w:p>
        </w:tc>
        <w:tc>
          <w:tcPr>
            <w:tcW w:type="dxa" w:w="1100"/>
            <w:tcMar>
              <w:top w:type="dxa" w:w="25"/>
              <w:left w:type="dxa" w:w="90"/>
              <w:bottom w:type="dxa" w:w="25"/>
              <w:right w:type="dxa" w:w="90"/>
            </w:tcMar>
            <w:vAlign w:val="center"/>
          </w:tcPr>
          <w:p>
            <w:r>
              <w:rPr>
                <w:b w:val="false"/>
                <w:bCs w:val="false"/>
                <w:sz w:val="18"/>
                <w:szCs w:val="18"/>
              </w:rPr>
              <w:t xml:space="preserve">Payments</w:t>
            </w:r>
          </w:p>
        </w:tc>
        <w:tc>
          <w:tcPr>
            <w:tcW w:type="dxa" w:w="1500"/>
            <w:tcMar>
              <w:top w:type="dxa" w:w="25"/>
              <w:left w:type="dxa" w:w="90"/>
              <w:bottom w:type="dxa" w:w="25"/>
              <w:right w:type="dxa" w:w="90"/>
            </w:tcMar>
            <w:vAlign w:val="center"/>
          </w:tcPr>
          <w:p>
            <w:r>
              <w:rPr>
                <w:b w:val="false"/>
                <w:bCs w:val="false"/>
                <w:sz w:val="18"/>
                <w:szCs w:val="18"/>
              </w:rPr>
              <w:t xml:space="preserve">1,550 / 1,300</w:t>
            </w:r>
          </w:p>
        </w:tc>
      </w:tr>
      <w:tr>
        <w:trPr>
          <w:cantSplit/>
        </w:trPr>
        <w:tc>
          <w:tcPr>
            <w:tcW w:type="dxa" w:w="800"/>
            <w:shd w:fill="EEF3F8" w:val="clear"/>
            <w:tcMar>
              <w:top w:type="dxa" w:w="25"/>
              <w:left w:type="dxa" w:w="90"/>
              <w:bottom w:type="dxa" w:w="25"/>
              <w:right w:type="dxa" w:w="90"/>
            </w:tcMar>
            <w:vAlign w:val="center"/>
          </w:tcPr>
          <w:p>
            <w:r>
              <w:rPr>
                <w:b w:val="false"/>
                <w:bCs w:val="false"/>
                <w:sz w:val="18"/>
                <w:szCs w:val="18"/>
              </w:rPr>
              <w:t xml:space="preserve">Week</w:t>
            </w:r>
          </w:p>
        </w:tc>
        <w:tc>
          <w:tcPr>
            <w:tcW w:type="dxa" w:w="5960"/>
            <w:shd w:fill="EEF3F8" w:val="clear"/>
            <w:tcMar>
              <w:top w:type="dxa" w:w="25"/>
              <w:left w:type="dxa" w:w="90"/>
              <w:bottom w:type="dxa" w:w="25"/>
              <w:right w:type="dxa" w:w="90"/>
            </w:tcMar>
            <w:vAlign w:val="center"/>
          </w:tcPr>
          <w:p>
            <w:r>
              <w:rPr>
                <w:b w:val="false"/>
                <w:bCs w:val="false"/>
                <w:sz w:val="18"/>
                <w:szCs w:val="18"/>
              </w:rPr>
              <w:t xml:space="preserve">Confirm the wallet debit for each of 3 reversals</w:t>
            </w:r>
          </w:p>
        </w:tc>
        <w:tc>
          <w:tcPr>
            <w:tcW w:type="dxa" w:w="1100"/>
            <w:shd w:fill="EEF3F8" w:val="clear"/>
            <w:tcMar>
              <w:top w:type="dxa" w:w="25"/>
              <w:left w:type="dxa" w:w="90"/>
              <w:bottom w:type="dxa" w:w="25"/>
              <w:right w:type="dxa" w:w="90"/>
            </w:tcMar>
            <w:vAlign w:val="center"/>
          </w:tcPr>
          <w:p>
            <w:r>
              <w:rPr>
                <w:b w:val="false"/>
                <w:bCs w:val="false"/>
                <w:sz w:val="18"/>
                <w:szCs w:val="18"/>
              </w:rPr>
              <w:t xml:space="preserve">Finance</w:t>
            </w:r>
          </w:p>
        </w:tc>
        <w:tc>
          <w:tcPr>
            <w:tcW w:type="dxa" w:w="1500"/>
            <w:shd w:fill="EEF3F8" w:val="clear"/>
            <w:tcMar>
              <w:top w:type="dxa" w:w="25"/>
              <w:left w:type="dxa" w:w="90"/>
              <w:bottom w:type="dxa" w:w="25"/>
              <w:right w:type="dxa" w:w="90"/>
            </w:tcMar>
            <w:vAlign w:val="center"/>
          </w:tcPr>
          <w:p>
            <w:r>
              <w:rPr>
                <w:b w:val="false"/>
                <w:bCs w:val="false"/>
                <w:sz w:val="18"/>
                <w:szCs w:val="18"/>
              </w:rPr>
              <w:t xml:space="preserve">850.00</w:t>
            </w:r>
          </w:p>
        </w:tc>
      </w:tr>
      <w:tr>
        <w:trPr>
          <w:cantSplit/>
        </w:trPr>
        <w:tc>
          <w:tcPr>
            <w:tcW w:type="dxa" w:w="800"/>
            <w:tcMar>
              <w:top w:type="dxa" w:w="25"/>
              <w:left w:type="dxa" w:w="90"/>
              <w:bottom w:type="dxa" w:w="25"/>
              <w:right w:type="dxa" w:w="90"/>
            </w:tcMar>
            <w:vAlign w:val="center"/>
          </w:tcPr>
          <w:p>
            <w:r>
              <w:rPr>
                <w:b w:val="false"/>
                <w:bCs w:val="false"/>
                <w:sz w:val="18"/>
                <w:szCs w:val="18"/>
              </w:rPr>
              <w:t xml:space="preserve">3 days</w:t>
            </w:r>
          </w:p>
        </w:tc>
        <w:tc>
          <w:tcPr>
            <w:tcW w:type="dxa" w:w="5960"/>
            <w:tcMar>
              <w:top w:type="dxa" w:w="25"/>
              <w:left w:type="dxa" w:w="90"/>
              <w:bottom w:type="dxa" w:w="25"/>
              <w:right w:type="dxa" w:w="90"/>
            </w:tcMar>
            <w:vAlign w:val="center"/>
          </w:tcPr>
          <w:p>
            <w:r>
              <w:rPr>
                <w:b w:val="false"/>
                <w:bCs w:val="false"/>
                <w:sz w:val="18"/>
                <w:szCs w:val="18"/>
              </w:rPr>
              <w:t xml:space="preserve">5 deposits with no settlement: re-check next file, then escalate</w:t>
            </w:r>
          </w:p>
        </w:tc>
        <w:tc>
          <w:tcPr>
            <w:tcW w:type="dxa" w:w="1100"/>
            <w:tcMar>
              <w:top w:type="dxa" w:w="25"/>
              <w:left w:type="dxa" w:w="90"/>
              <w:bottom w:type="dxa" w:w="25"/>
              <w:right w:type="dxa" w:w="90"/>
            </w:tcMar>
            <w:vAlign w:val="center"/>
          </w:tcPr>
          <w:p>
            <w:r>
              <w:rPr>
                <w:b w:val="false"/>
                <w:bCs w:val="false"/>
                <w:sz w:val="18"/>
                <w:szCs w:val="18"/>
              </w:rPr>
              <w:t xml:space="preserve">Finance</w:t>
            </w:r>
          </w:p>
        </w:tc>
        <w:tc>
          <w:tcPr>
            <w:tcW w:type="dxa" w:w="1500"/>
            <w:tcMar>
              <w:top w:type="dxa" w:w="25"/>
              <w:left w:type="dxa" w:w="90"/>
              <w:bottom w:type="dxa" w:w="25"/>
              <w:right w:type="dxa" w:w="90"/>
            </w:tcMar>
            <w:vAlign w:val="center"/>
          </w:tcPr>
          <w:p>
            <w:r>
              <w:rPr>
                <w:b w:val="false"/>
                <w:bCs w:val="false"/>
                <w:sz w:val="18"/>
                <w:szCs w:val="18"/>
              </w:rPr>
              <w:t xml:space="preserve">2,700.00</w:t>
            </w:r>
          </w:p>
        </w:tc>
      </w:tr>
    </w:tbl>
    <w:p>
      <w:pPr>
        <w:spacing w:after="60" w:before="140"/>
      </w:pPr>
      <w:r>
        <w:rPr>
          <w:b/>
          <w:bCs/>
          <w:color w:val="0E7C7B"/>
          <w:sz w:val="22"/>
          <w:szCs w:val="22"/>
        </w:rPr>
        <w:t xml:space="preserve">Material assumptions</w:t>
      </w:r>
    </w:p>
    <w:p>
      <w:pPr>
        <w:pStyle w:val="ListParagraph"/>
        <w:numPr>
          <w:ilvl w:val="0"/>
          <w:numId w:val="2"/>
        </w:numPr>
        <w:spacing w:after="40"/>
      </w:pPr>
      <w:r>
        <w:rPr>
          <w:sz w:val="18"/>
          <w:szCs w:val="18"/>
        </w:rPr>
        <w:t xml:space="preserve">Timing lines are provisional: this week's files can't prove them. R3,650 (3 deposits created 23:54–23:55 on 7 Sep) should appear in the 8–14 Sep gateway file; R2,600 (3 settlements at 00:04–00:06 on 1 Sep, GW-000331 to 333) should match the 25–31 Aug internal file. Finance keeps all six open until matched; any unmatched item becomes a break.</w:t>
      </w:r>
    </w:p>
    <w:p>
      <w:pPr>
        <w:pStyle w:val="ListParagraph"/>
        <w:numPr>
          <w:ilvl w:val="0"/>
          <w:numId w:val="2"/>
        </w:numPr>
        <w:spacing w:after="40"/>
      </w:pPr>
      <w:r>
        <w:rPr>
          <w:sz w:val="18"/>
          <w:szCs w:val="18"/>
        </w:rPr>
        <w:t xml:space="preserve">Fee = 2% of gross + R1.00, to the cent; any fee or net difference of 1 cent or more is flagged. Gross differences of exactly 1 cent (3 rows, R0.03) are treated as rounding, a materiality choice for Finance to confirm. Fee and net errors don't move gross, so they are actions, not bridge lines.</w:t>
      </w:r>
    </w:p>
    <w:p>
      <w:pPr>
        <w:pStyle w:val="Heading2"/>
        <w:keepNext/>
        <w:pageBreakBefore/>
      </w:pPr>
      <w:r>
        <w:t xml:space="preserve">Supporting detail</w:t>
      </w:r>
    </w:p>
    <w:p>
      <w:pPr>
        <w:spacing w:after="160"/>
      </w:pPr>
      <w:r>
        <w:rPr>
          <w:i/>
          <w:iCs/>
          <w:color w:val="595959"/>
          <w:sz w:val="20"/>
          <w:szCs w:val="20"/>
        </w:rPr>
        <w:t xml:space="preserve">Tools used: MySQL 8.0 for the schema, load and categorisation SQL; Python/pandas for the load script, CSV export and an independent cross-check of the bridge arithmetic.</w:t>
      </w:r>
    </w:p>
    <w:p>
      <w:pPr>
        <w:pStyle w:val="Heading3"/>
        <w:keepNext/>
        <w:keepLines/>
        <w:spacing w:after="100" w:before="200"/>
      </w:pPr>
      <w:r>
        <w:t xml:space="preserve">Approach</w:t>
      </w:r>
    </w:p>
    <w:p>
      <w:pPr>
        <w:spacing w:after="160"/>
      </w:pPr>
      <w:r>
        <w:t xml:space="preserve">Both source files were loaded as-is into MySQL. Matching between internal_deposits.gateway_ref and gateway_settlement.merchant_ref uses a normalised reference (upper-case, letters and digits only), because the gateway returns six of our references with different punctuation, case or spacing ("GW_000020", "GW000102", "gw-000196 ", " GW-000267 " and others). An exact-match join would misclassify those six clean matches as breaks.</w:t>
      </w:r>
    </w:p>
    <w:p>
      <w:pPr>
        <w:spacing w:after="160"/>
      </w:pPr>
      <w:r>
        <w:t xml:space="preserve">Every internal SUCCESS deposit and every gateway settlement row is either a clean match or one of twelve exception types: a genuine break, a timing difference, a business event (reversal), or not a problem at all. The rules live in exercise1-reconciliation/sql/03_reconciliation.sql and are ported into a dbt model (fct_recon_exceptions) so they run on a schedule with tests attached. The checks follow the brief's contract exactly: fee = 2% of gross + R1.00 to the cent, and net = gross − fee. Boundary tests at 1, 2 and 3 cents (sql/06_threshold_fixtures.py) confirm that every fee or net difference of a cent or more is flagged.</w:t>
      </w:r>
    </w:p>
    <w:p>
      <w:pPr>
        <w:keepNext/>
        <w:spacing w:before="200"/>
        <w:jc w:val="center"/>
      </w:pPr>
      <w:r>
        <w:drawing>
          <wp:inline distT="0" distB="0" distL="0" distR="0">
            <wp:extent cx="4572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905000"/>
                    </a:xfrm>
                    <a:prstGeom prst="rect">
                      <a:avLst/>
                    </a:prstGeom>
                  </pic:spPr>
                </pic:pic>
              </a:graphicData>
            </a:graphic>
          </wp:inline>
        </w:drawing>
      </w:r>
    </w:p>
    <w:p>
      <w:pPr>
        <w:spacing w:after="300" w:before="80"/>
        <w:jc w:val="center"/>
      </w:pPr>
      <w:r>
        <w:rPr>
          <w:i/>
          <w:iCs/>
          <w:color w:val="595959"/>
          <w:sz w:val="20"/>
          <w:szCs w:val="20"/>
        </w:rPr>
        <w:t xml:space="preserve">Actual output of sql/03_reconciliation.sql against MySQL 8.0, and of the independent row-by-row check.</w:t>
      </w:r>
    </w:p>
    <w:p>
      <w:pPr>
        <w:pStyle w:val="Heading3"/>
        <w:keepNext/>
        <w:keepLines/>
        <w:spacing w:after="100" w:before="200"/>
      </w:pPr>
      <w:r>
        <w:t xml:space="preserve">Exceptions by category</w:t>
      </w:r>
    </w:p>
    <w:p>
      <w:pPr>
        <w:spacing w:after="160"/>
      </w:pPr>
      <w:r>
        <w:t xml:space="preserve">Every one of the 49 rows in exceptions.csv carries exactly one classification, as the brief asks: genuine break (34), timing difference (6) or not a problem (9), plus a row-specific explanation, next step and owner. Reconciliation_Workbook.xlsx holds the same rows and the two raw files, with the bridge and category totals as live SUMIFS/COUNTIFS formulas that recalculate to a 0.00 residual.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700"/>
        <w:gridCol w:w="2560"/>
        <w:gridCol w:w="700"/>
        <w:gridCol w:w="1400"/>
      </w:tblGrid>
      <w:tr>
        <w:trPr>
          <w:tblHeader/>
        </w:trPr>
        <w:tc>
          <w:tcPr>
            <w:tcW w:type="dxa" w:w="3700"/>
            <w:shd w:fill="1F3864" w:val="clear"/>
            <w:tcMar>
              <w:top w:type="dxa" w:w="60"/>
              <w:left w:type="dxa" w:w="100"/>
              <w:bottom w:type="dxa" w:w="60"/>
              <w:right w:type="dxa" w:w="100"/>
            </w:tcMar>
            <w:vAlign w:val="center"/>
          </w:tcPr>
          <w:p>
            <w:pPr>
              <w:jc w:val="left"/>
            </w:pPr>
            <w:r>
              <w:rPr>
                <w:b/>
                <w:bCs/>
                <w:color w:val="FFFFFF"/>
                <w:sz w:val="19"/>
                <w:szCs w:val="19"/>
              </w:rPr>
              <w:t xml:space="preserve">Category</w:t>
            </w:r>
          </w:p>
        </w:tc>
        <w:tc>
          <w:tcPr>
            <w:tcW w:type="dxa" w:w="2560"/>
            <w:shd w:fill="1F3864" w:val="clear"/>
            <w:tcMar>
              <w:top w:type="dxa" w:w="60"/>
              <w:left w:type="dxa" w:w="100"/>
              <w:bottom w:type="dxa" w:w="60"/>
              <w:right w:type="dxa" w:w="100"/>
            </w:tcMar>
            <w:vAlign w:val="center"/>
          </w:tcPr>
          <w:p>
            <w:pPr>
              <w:jc w:val="left"/>
            </w:pPr>
            <w:r>
              <w:rPr>
                <w:b/>
                <w:bCs/>
                <w:color w:val="FFFFFF"/>
                <w:sz w:val="19"/>
                <w:szCs w:val="19"/>
              </w:rPr>
              <w:t xml:space="preserve">Classification</w:t>
            </w:r>
          </w:p>
        </w:tc>
        <w:tc>
          <w:tcPr>
            <w:tcW w:type="dxa" w:w="700"/>
            <w:shd w:fill="1F3864" w:val="clear"/>
            <w:tcMar>
              <w:top w:type="dxa" w:w="60"/>
              <w:left w:type="dxa" w:w="100"/>
              <w:bottom w:type="dxa" w:w="60"/>
              <w:right w:type="dxa" w:w="100"/>
            </w:tcMar>
            <w:vAlign w:val="center"/>
          </w:tcPr>
          <w:p>
            <w:pPr>
              <w:jc w:val="left"/>
            </w:pPr>
            <w:r>
              <w:rPr>
                <w:b/>
                <w:bCs/>
                <w:color w:val="FFFFFF"/>
                <w:sz w:val="19"/>
                <w:szCs w:val="19"/>
              </w:rPr>
              <w:t xml:space="preserve">Rows</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Impact (NAD)</w:t>
            </w:r>
          </w:p>
        </w:tc>
      </w:tr>
      <w:tr>
        <w:trPr>
          <w:cantSplit/>
        </w:trPr>
        <w:tc>
          <w:tcPr>
            <w:tcW w:type="dxa" w:w="3700"/>
            <w:tcMar>
              <w:top w:type="dxa" w:w="60"/>
              <w:left w:type="dxa" w:w="100"/>
              <w:bottom w:type="dxa" w:w="60"/>
              <w:right w:type="dxa" w:w="100"/>
            </w:tcMar>
            <w:vAlign w:val="center"/>
          </w:tcPr>
          <w:p>
            <w:pPr>
              <w:jc w:val="left"/>
            </w:pPr>
            <w:r>
              <w:rPr>
                <w:b w:val="false"/>
                <w:bCs w:val="false"/>
                <w:sz w:val="19"/>
                <w:szCs w:val="19"/>
              </w:rPr>
              <w:t xml:space="preserve">Payment confirmed, wallet not credited</w:t>
            </w:r>
          </w:p>
        </w:tc>
        <w:tc>
          <w:tcPr>
            <w:tcW w:type="dxa" w:w="2560"/>
            <w:tcMar>
              <w:top w:type="dxa" w:w="60"/>
              <w:left w:type="dxa" w:w="100"/>
              <w:bottom w:type="dxa" w:w="60"/>
              <w:right w:type="dxa" w:w="100"/>
            </w:tcMar>
            <w:vAlign w:val="center"/>
          </w:tcPr>
          <w:p>
            <w:pPr>
              <w:jc w:val="left"/>
            </w:pPr>
            <w:r>
              <w:rPr>
                <w:b w:val="false"/>
                <w:bCs w:val="false"/>
                <w:sz w:val="19"/>
                <w:szCs w:val="19"/>
              </w:rPr>
              <w:t xml:space="preserve">Genuine break — act today</w:t>
            </w:r>
          </w:p>
        </w:tc>
        <w:tc>
          <w:tcPr>
            <w:tcW w:type="dxa" w:w="700"/>
            <w:tcMar>
              <w:top w:type="dxa" w:w="60"/>
              <w:left w:type="dxa" w:w="100"/>
              <w:bottom w:type="dxa" w:w="60"/>
              <w:right w:type="dxa" w:w="100"/>
            </w:tcMar>
            <w:vAlign w:val="center"/>
          </w:tcPr>
          <w:p>
            <w:pPr>
              <w:jc w:val="left"/>
            </w:pPr>
            <w:r>
              <w:rPr>
                <w:b w:val="false"/>
                <w:bCs w:val="false"/>
                <w:sz w:val="19"/>
                <w:szCs w:val="19"/>
              </w:rPr>
              <w:t xml:space="preserve">2</w:t>
            </w:r>
          </w:p>
        </w:tc>
        <w:tc>
          <w:tcPr>
            <w:tcW w:type="dxa" w:w="1400"/>
            <w:tcMar>
              <w:top w:type="dxa" w:w="60"/>
              <w:left w:type="dxa" w:w="100"/>
              <w:bottom w:type="dxa" w:w="60"/>
              <w:right w:type="dxa" w:w="100"/>
            </w:tcMar>
            <w:vAlign w:val="center"/>
          </w:tcPr>
          <w:p>
            <w:pPr>
              <w:jc w:val="left"/>
            </w:pPr>
            <w:r>
              <w:rPr>
                <w:b w:val="false"/>
                <w:bCs w:val="false"/>
                <w:sz w:val="19"/>
                <w:szCs w:val="19"/>
              </w:rPr>
              <w:t xml:space="preserve">250.00 owed</w:t>
            </w:r>
          </w:p>
        </w:tc>
      </w:tr>
      <w:tr>
        <w:trPr>
          <w:cantSplit/>
        </w:trPr>
        <w:tc>
          <w:tcPr>
            <w:tcW w:type="dxa" w:w="3700"/>
            <w:shd w:fill="EEF3F8" w:val="clear"/>
            <w:tcMar>
              <w:top w:type="dxa" w:w="60"/>
              <w:left w:type="dxa" w:w="100"/>
              <w:bottom w:type="dxa" w:w="60"/>
              <w:right w:type="dxa" w:w="100"/>
            </w:tcMar>
            <w:vAlign w:val="center"/>
          </w:tcPr>
          <w:p>
            <w:pPr>
              <w:jc w:val="left"/>
            </w:pPr>
            <w:r>
              <w:rPr>
                <w:b w:val="false"/>
                <w:bCs w:val="false"/>
                <w:sz w:val="19"/>
                <w:szCs w:val="19"/>
              </w:rPr>
              <w:t xml:space="preserve">Unrecognised settlement (no internal record)</w:t>
            </w:r>
          </w:p>
        </w:tc>
        <w:tc>
          <w:tcPr>
            <w:tcW w:type="dxa" w:w="2560"/>
            <w:shd w:fill="EEF3F8" w:val="clear"/>
            <w:tcMar>
              <w:top w:type="dxa" w:w="60"/>
              <w:left w:type="dxa" w:w="100"/>
              <w:bottom w:type="dxa" w:w="60"/>
              <w:right w:type="dxa" w:w="100"/>
            </w:tcMar>
            <w:vAlign w:val="center"/>
          </w:tcPr>
          <w:p>
            <w:pPr>
              <w:jc w:val="left"/>
            </w:pPr>
            <w:r>
              <w:rPr>
                <w:b w:val="false"/>
                <w:bCs w:val="false"/>
                <w:sz w:val="19"/>
                <w:szCs w:val="19"/>
              </w:rPr>
              <w:t xml:space="preserve">Genuine break — act today</w:t>
            </w:r>
          </w:p>
        </w:tc>
        <w:tc>
          <w:tcPr>
            <w:tcW w:type="dxa" w:w="700"/>
            <w:shd w:fill="EEF3F8" w:val="clear"/>
            <w:tcMar>
              <w:top w:type="dxa" w:w="60"/>
              <w:left w:type="dxa" w:w="100"/>
              <w:bottom w:type="dxa" w:w="60"/>
              <w:right w:type="dxa" w:w="100"/>
            </w:tcMar>
            <w:vAlign w:val="center"/>
          </w:tcPr>
          <w:p>
            <w:pPr>
              <w:jc w:val="left"/>
            </w:pPr>
            <w:r>
              <w:rPr>
                <w:b w:val="false"/>
                <w:bCs w:val="false"/>
                <w:sz w:val="19"/>
                <w:szCs w:val="19"/>
              </w:rPr>
              <w:t xml:space="preserve">4</w:t>
            </w:r>
          </w:p>
        </w:tc>
        <w:tc>
          <w:tcPr>
            <w:tcW w:type="dxa" w:w="1400"/>
            <w:shd w:fill="EEF3F8" w:val="clear"/>
            <w:tcMar>
              <w:top w:type="dxa" w:w="60"/>
              <w:left w:type="dxa" w:w="100"/>
              <w:bottom w:type="dxa" w:w="60"/>
              <w:right w:type="dxa" w:w="100"/>
            </w:tcMar>
            <w:vAlign w:val="center"/>
          </w:tcPr>
          <w:p>
            <w:pPr>
              <w:jc w:val="left"/>
            </w:pPr>
            <w:r>
              <w:rPr>
                <w:b w:val="false"/>
                <w:bCs w:val="false"/>
                <w:sz w:val="19"/>
                <w:szCs w:val="19"/>
              </w:rPr>
              <w:t xml:space="preserve">2,900.00</w:t>
            </w:r>
          </w:p>
        </w:tc>
      </w:tr>
      <w:tr>
        <w:trPr>
          <w:cantSplit/>
        </w:trPr>
        <w:tc>
          <w:tcPr>
            <w:tcW w:type="dxa" w:w="3700"/>
            <w:tcMar>
              <w:top w:type="dxa" w:w="60"/>
              <w:left w:type="dxa" w:w="100"/>
              <w:bottom w:type="dxa" w:w="60"/>
              <w:right w:type="dxa" w:w="100"/>
            </w:tcMar>
            <w:vAlign w:val="center"/>
          </w:tcPr>
          <w:p>
            <w:pPr>
              <w:jc w:val="left"/>
            </w:pPr>
            <w:r>
              <w:rPr>
                <w:b w:val="false"/>
                <w:bCs w:val="false"/>
                <w:sz w:val="19"/>
                <w:szCs w:val="19"/>
              </w:rPr>
              <w:t xml:space="preserve">Net amount is not gross minus fee</w:t>
            </w:r>
          </w:p>
        </w:tc>
        <w:tc>
          <w:tcPr>
            <w:tcW w:type="dxa" w:w="2560"/>
            <w:tcMar>
              <w:top w:type="dxa" w:w="60"/>
              <w:left w:type="dxa" w:w="100"/>
              <w:bottom w:type="dxa" w:w="60"/>
              <w:right w:type="dxa" w:w="100"/>
            </w:tcMar>
            <w:vAlign w:val="center"/>
          </w:tcPr>
          <w:p>
            <w:pPr>
              <w:jc w:val="left"/>
            </w:pPr>
            <w:r>
              <w:rPr>
                <w:b w:val="false"/>
                <w:bCs w:val="false"/>
                <w:sz w:val="19"/>
                <w:szCs w:val="19"/>
              </w:rPr>
              <w:t xml:space="preserve">Genuine break — dispute</w:t>
            </w:r>
          </w:p>
        </w:tc>
        <w:tc>
          <w:tcPr>
            <w:tcW w:type="dxa" w:w="700"/>
            <w:tcMar>
              <w:top w:type="dxa" w:w="60"/>
              <w:left w:type="dxa" w:w="100"/>
              <w:bottom w:type="dxa" w:w="60"/>
              <w:right w:type="dxa" w:w="100"/>
            </w:tcMar>
            <w:vAlign w:val="center"/>
          </w:tcPr>
          <w:p>
            <w:pPr>
              <w:jc w:val="left"/>
            </w:pPr>
            <w:r>
              <w:rPr>
                <w:b w:val="false"/>
                <w:bCs w:val="false"/>
                <w:sz w:val="19"/>
                <w:szCs w:val="19"/>
              </w:rPr>
              <w:t xml:space="preserve">2</w:t>
            </w:r>
          </w:p>
        </w:tc>
        <w:tc>
          <w:tcPr>
            <w:tcW w:type="dxa" w:w="1400"/>
            <w:tcMar>
              <w:top w:type="dxa" w:w="60"/>
              <w:left w:type="dxa" w:w="100"/>
              <w:bottom w:type="dxa" w:w="60"/>
              <w:right w:type="dxa" w:w="100"/>
            </w:tcMar>
            <w:vAlign w:val="center"/>
          </w:tcPr>
          <w:p>
            <w:pPr>
              <w:jc w:val="left"/>
            </w:pPr>
            <w:r>
              <w:rPr>
                <w:b w:val="false"/>
                <w:bCs w:val="false"/>
                <w:sz w:val="19"/>
                <w:szCs w:val="19"/>
              </w:rPr>
              <w:t xml:space="preserve">4.00 short-paid</w:t>
            </w:r>
          </w:p>
        </w:tc>
      </w:tr>
      <w:tr>
        <w:trPr>
          <w:cantSplit/>
        </w:trPr>
        <w:tc>
          <w:tcPr>
            <w:tcW w:type="dxa" w:w="3700"/>
            <w:shd w:fill="EEF3F8" w:val="clear"/>
            <w:tcMar>
              <w:top w:type="dxa" w:w="60"/>
              <w:left w:type="dxa" w:w="100"/>
              <w:bottom w:type="dxa" w:w="60"/>
              <w:right w:type="dxa" w:w="100"/>
            </w:tcMar>
            <w:vAlign w:val="center"/>
          </w:tcPr>
          <w:p>
            <w:pPr>
              <w:jc w:val="left"/>
            </w:pPr>
            <w:r>
              <w:rPr>
                <w:b w:val="false"/>
                <w:bCs w:val="false"/>
                <w:sz w:val="19"/>
                <w:szCs w:val="19"/>
              </w:rPr>
              <w:t xml:space="preserve">Settled fee differs from contract</w:t>
            </w:r>
          </w:p>
        </w:tc>
        <w:tc>
          <w:tcPr>
            <w:tcW w:type="dxa" w:w="2560"/>
            <w:shd w:fill="EEF3F8" w:val="clear"/>
            <w:tcMar>
              <w:top w:type="dxa" w:w="60"/>
              <w:left w:type="dxa" w:w="100"/>
              <w:bottom w:type="dxa" w:w="60"/>
              <w:right w:type="dxa" w:w="100"/>
            </w:tcMar>
            <w:vAlign w:val="center"/>
          </w:tcPr>
          <w:p>
            <w:pPr>
              <w:jc w:val="left"/>
            </w:pPr>
            <w:r>
              <w:rPr>
                <w:b w:val="false"/>
                <w:bCs w:val="false"/>
                <w:sz w:val="19"/>
                <w:szCs w:val="19"/>
              </w:rPr>
              <w:t xml:space="preserve">Genuine break — dispute</w:t>
            </w:r>
          </w:p>
        </w:tc>
        <w:tc>
          <w:tcPr>
            <w:tcW w:type="dxa" w:w="700"/>
            <w:shd w:fill="EEF3F8" w:val="clear"/>
            <w:tcMar>
              <w:top w:type="dxa" w:w="60"/>
              <w:left w:type="dxa" w:w="100"/>
              <w:bottom w:type="dxa" w:w="60"/>
              <w:right w:type="dxa" w:w="100"/>
            </w:tcMar>
            <w:vAlign w:val="center"/>
          </w:tcPr>
          <w:p>
            <w:pPr>
              <w:jc w:val="left"/>
            </w:pPr>
            <w:r>
              <w:rPr>
                <w:b w:val="false"/>
                <w:bCs w:val="false"/>
                <w:sz w:val="19"/>
                <w:szCs w:val="19"/>
              </w:rPr>
              <w:t xml:space="preserve">4</w:t>
            </w:r>
          </w:p>
        </w:tc>
        <w:tc>
          <w:tcPr>
            <w:tcW w:type="dxa" w:w="1400"/>
            <w:shd w:fill="EEF3F8" w:val="clear"/>
            <w:tcMar>
              <w:top w:type="dxa" w:w="60"/>
              <w:left w:type="dxa" w:w="100"/>
              <w:bottom w:type="dxa" w:w="60"/>
              <w:right w:type="dxa" w:w="100"/>
            </w:tcMar>
            <w:vAlign w:val="center"/>
          </w:tcPr>
          <w:p>
            <w:pPr>
              <w:jc w:val="left"/>
            </w:pPr>
            <w:r>
              <w:rPr>
                <w:b w:val="false"/>
                <w:bCs w:val="false"/>
                <w:sz w:val="19"/>
                <w:szCs w:val="19"/>
              </w:rPr>
              <w:t xml:space="preserve">3.75 overcharged</w:t>
            </w:r>
          </w:p>
        </w:tc>
      </w:tr>
      <w:tr>
        <w:trPr>
          <w:cantSplit/>
        </w:trPr>
        <w:tc>
          <w:tcPr>
            <w:tcW w:type="dxa" w:w="3700"/>
            <w:tcMar>
              <w:top w:type="dxa" w:w="60"/>
              <w:left w:type="dxa" w:w="100"/>
              <w:bottom w:type="dxa" w:w="60"/>
              <w:right w:type="dxa" w:w="100"/>
            </w:tcMar>
            <w:vAlign w:val="center"/>
          </w:tcPr>
          <w:p>
            <w:pPr>
              <w:jc w:val="left"/>
            </w:pPr>
            <w:r>
              <w:rPr>
                <w:b w:val="false"/>
                <w:bCs w:val="false"/>
                <w:sz w:val="19"/>
                <w:szCs w:val="19"/>
              </w:rPr>
              <w:t xml:space="preserve">Settled amount differs from internal amount</w:t>
            </w:r>
          </w:p>
        </w:tc>
        <w:tc>
          <w:tcPr>
            <w:tcW w:type="dxa" w:w="2560"/>
            <w:tcMar>
              <w:top w:type="dxa" w:w="60"/>
              <w:left w:type="dxa" w:w="100"/>
              <w:bottom w:type="dxa" w:w="60"/>
              <w:right w:type="dxa" w:w="100"/>
            </w:tcMar>
            <w:vAlign w:val="center"/>
          </w:tcPr>
          <w:p>
            <w:pPr>
              <w:jc w:val="left"/>
            </w:pPr>
            <w:r>
              <w:rPr>
                <w:b w:val="false"/>
                <w:bCs w:val="false"/>
                <w:sz w:val="19"/>
                <w:szCs w:val="19"/>
              </w:rPr>
              <w:t xml:space="preserve">Genuine break — dispute</w:t>
            </w:r>
          </w:p>
        </w:tc>
        <w:tc>
          <w:tcPr>
            <w:tcW w:type="dxa" w:w="700"/>
            <w:tcMar>
              <w:top w:type="dxa" w:w="60"/>
              <w:left w:type="dxa" w:w="100"/>
              <w:bottom w:type="dxa" w:w="60"/>
              <w:right w:type="dxa" w:w="100"/>
            </w:tcMar>
            <w:vAlign w:val="center"/>
          </w:tcPr>
          <w:p>
            <w:pPr>
              <w:jc w:val="left"/>
            </w:pPr>
            <w:r>
              <w:rPr>
                <w:b w:val="false"/>
                <w:bCs w:val="false"/>
                <w:sz w:val="19"/>
                <w:szCs w:val="19"/>
              </w:rPr>
              <w:t xml:space="preserve">4</w:t>
            </w:r>
          </w:p>
        </w:tc>
        <w:tc>
          <w:tcPr>
            <w:tcW w:type="dxa" w:w="1400"/>
            <w:tcMar>
              <w:top w:type="dxa" w:w="60"/>
              <w:left w:type="dxa" w:w="100"/>
              <w:bottom w:type="dxa" w:w="60"/>
              <w:right w:type="dxa" w:w="100"/>
            </w:tcMar>
            <w:vAlign w:val="center"/>
          </w:tcPr>
          <w:p>
            <w:pPr>
              <w:jc w:val="left"/>
            </w:pPr>
            <w:r>
              <w:rPr>
                <w:b w:val="false"/>
                <w:bCs w:val="false"/>
                <w:sz w:val="19"/>
                <w:szCs w:val="19"/>
              </w:rPr>
              <w:t xml:space="preserve">-900.00 (net)</w:t>
            </w:r>
          </w:p>
        </w:tc>
      </w:tr>
      <w:tr>
        <w:trPr>
          <w:cantSplit/>
        </w:trPr>
        <w:tc>
          <w:tcPr>
            <w:tcW w:type="dxa" w:w="3700"/>
            <w:shd w:fill="EEF3F8" w:val="clear"/>
            <w:tcMar>
              <w:top w:type="dxa" w:w="60"/>
              <w:left w:type="dxa" w:w="100"/>
              <w:bottom w:type="dxa" w:w="60"/>
              <w:right w:type="dxa" w:w="100"/>
            </w:tcMar>
            <w:vAlign w:val="center"/>
          </w:tcPr>
          <w:p>
            <w:pPr>
              <w:jc w:val="left"/>
            </w:pPr>
            <w:r>
              <w:rPr>
                <w:b w:val="false"/>
                <w:bCs w:val="false"/>
                <w:sz w:val="19"/>
                <w:szCs w:val="19"/>
              </w:rPr>
              <w:t xml:space="preserve">Duplicate gateway settlement</w:t>
            </w:r>
          </w:p>
        </w:tc>
        <w:tc>
          <w:tcPr>
            <w:tcW w:type="dxa" w:w="2560"/>
            <w:shd w:fill="EEF3F8" w:val="clear"/>
            <w:tcMar>
              <w:top w:type="dxa" w:w="60"/>
              <w:left w:type="dxa" w:w="100"/>
              <w:bottom w:type="dxa" w:w="60"/>
              <w:right w:type="dxa" w:w="100"/>
            </w:tcMar>
            <w:vAlign w:val="center"/>
          </w:tcPr>
          <w:p>
            <w:pPr>
              <w:jc w:val="left"/>
            </w:pPr>
            <w:r>
              <w:rPr>
                <w:b w:val="false"/>
                <w:bCs w:val="false"/>
                <w:sz w:val="19"/>
                <w:szCs w:val="19"/>
              </w:rPr>
              <w:t xml:space="preserve">Genuine break — dispute</w:t>
            </w:r>
          </w:p>
        </w:tc>
        <w:tc>
          <w:tcPr>
            <w:tcW w:type="dxa" w:w="700"/>
            <w:shd w:fill="EEF3F8" w:val="clear"/>
            <w:tcMar>
              <w:top w:type="dxa" w:w="60"/>
              <w:left w:type="dxa" w:w="100"/>
              <w:bottom w:type="dxa" w:w="60"/>
              <w:right w:type="dxa" w:w="100"/>
            </w:tcMar>
            <w:vAlign w:val="center"/>
          </w:tcPr>
          <w:p>
            <w:pPr>
              <w:jc w:val="left"/>
            </w:pPr>
            <w:r>
              <w:rPr>
                <w:b w:val="false"/>
                <w:bCs w:val="false"/>
                <w:sz w:val="19"/>
                <w:szCs w:val="19"/>
              </w:rPr>
              <w:t xml:space="preserve">4</w:t>
            </w:r>
          </w:p>
        </w:tc>
        <w:tc>
          <w:tcPr>
            <w:tcW w:type="dxa" w:w="1400"/>
            <w:shd w:fill="EEF3F8" w:val="clear"/>
            <w:tcMar>
              <w:top w:type="dxa" w:w="60"/>
              <w:left w:type="dxa" w:w="100"/>
              <w:bottom w:type="dxa" w:w="60"/>
              <w:right w:type="dxa" w:w="100"/>
            </w:tcMar>
            <w:vAlign w:val="center"/>
          </w:tcPr>
          <w:p>
            <w:pPr>
              <w:jc w:val="left"/>
            </w:pPr>
            <w:r>
              <w:rPr>
                <w:b w:val="false"/>
                <w:bCs w:val="false"/>
                <w:sz w:val="19"/>
                <w:szCs w:val="19"/>
              </w:rPr>
              <w:t xml:space="preserve">1,550.00*</w:t>
            </w:r>
          </w:p>
        </w:tc>
      </w:tr>
      <w:tr>
        <w:trPr>
          <w:cantSplit/>
        </w:trPr>
        <w:tc>
          <w:tcPr>
            <w:tcW w:type="dxa" w:w="3700"/>
            <w:tcMar>
              <w:top w:type="dxa" w:w="60"/>
              <w:left w:type="dxa" w:w="100"/>
              <w:bottom w:type="dxa" w:w="60"/>
              <w:right w:type="dxa" w:w="100"/>
            </w:tcMar>
            <w:vAlign w:val="center"/>
          </w:tcPr>
          <w:p>
            <w:pPr>
              <w:jc w:val="left"/>
            </w:pPr>
            <w:r>
              <w:rPr>
                <w:b w:val="false"/>
                <w:bCs w:val="false"/>
                <w:sz w:val="19"/>
                <w:szCs w:val="19"/>
              </w:rPr>
              <w:t xml:space="preserve">Duplicate internal deposit</w:t>
            </w:r>
          </w:p>
        </w:tc>
        <w:tc>
          <w:tcPr>
            <w:tcW w:type="dxa" w:w="2560"/>
            <w:tcMar>
              <w:top w:type="dxa" w:w="60"/>
              <w:left w:type="dxa" w:w="100"/>
              <w:bottom w:type="dxa" w:w="60"/>
              <w:right w:type="dxa" w:w="100"/>
            </w:tcMar>
            <w:vAlign w:val="center"/>
          </w:tcPr>
          <w:p>
            <w:pPr>
              <w:jc w:val="left"/>
            </w:pPr>
            <w:r>
              <w:rPr>
                <w:b w:val="false"/>
                <w:bCs w:val="false"/>
                <w:sz w:val="19"/>
                <w:szCs w:val="19"/>
              </w:rPr>
              <w:t xml:space="preserve">Genuine break — reverse credit</w:t>
            </w:r>
          </w:p>
        </w:tc>
        <w:tc>
          <w:tcPr>
            <w:tcW w:type="dxa" w:w="700"/>
            <w:tcMar>
              <w:top w:type="dxa" w:w="60"/>
              <w:left w:type="dxa" w:w="100"/>
              <w:bottom w:type="dxa" w:w="60"/>
              <w:right w:type="dxa" w:w="100"/>
            </w:tcMar>
            <w:vAlign w:val="center"/>
          </w:tcPr>
          <w:p>
            <w:pPr>
              <w:jc w:val="left"/>
            </w:pPr>
            <w:r>
              <w:rPr>
                <w:b w:val="false"/>
                <w:bCs w:val="false"/>
                <w:sz w:val="19"/>
                <w:szCs w:val="19"/>
              </w:rPr>
              <w:t xml:space="preserve">6</w:t>
            </w:r>
          </w:p>
        </w:tc>
        <w:tc>
          <w:tcPr>
            <w:tcW w:type="dxa" w:w="1400"/>
            <w:tcMar>
              <w:top w:type="dxa" w:w="60"/>
              <w:left w:type="dxa" w:w="100"/>
              <w:bottom w:type="dxa" w:w="60"/>
              <w:right w:type="dxa" w:w="100"/>
            </w:tcMar>
            <w:vAlign w:val="center"/>
          </w:tcPr>
          <w:p>
            <w:pPr>
              <w:jc w:val="left"/>
            </w:pPr>
            <w:r>
              <w:rPr>
                <w:b w:val="false"/>
                <w:bCs w:val="false"/>
                <w:sz w:val="19"/>
                <w:szCs w:val="19"/>
              </w:rPr>
              <w:t xml:space="preserve">1,300.00*</w:t>
            </w:r>
          </w:p>
        </w:tc>
      </w:tr>
      <w:tr>
        <w:trPr>
          <w:cantSplit/>
        </w:trPr>
        <w:tc>
          <w:tcPr>
            <w:tcW w:type="dxa" w:w="3700"/>
            <w:shd w:fill="EEF3F8" w:val="clear"/>
            <w:tcMar>
              <w:top w:type="dxa" w:w="60"/>
              <w:left w:type="dxa" w:w="100"/>
              <w:bottom w:type="dxa" w:w="60"/>
              <w:right w:type="dxa" w:w="100"/>
            </w:tcMar>
            <w:vAlign w:val="center"/>
          </w:tcPr>
          <w:p>
            <w:pPr>
              <w:jc w:val="left"/>
            </w:pPr>
            <w:r>
              <w:rPr>
                <w:b w:val="false"/>
                <w:bCs w:val="false"/>
                <w:sz w:val="19"/>
                <w:szCs w:val="19"/>
              </w:rPr>
              <w:t xml:space="preserve">Reversal / chargeback</w:t>
            </w:r>
          </w:p>
        </w:tc>
        <w:tc>
          <w:tcPr>
            <w:tcW w:type="dxa" w:w="2560"/>
            <w:shd w:fill="EEF3F8" w:val="clear"/>
            <w:tcMar>
              <w:top w:type="dxa" w:w="60"/>
              <w:left w:type="dxa" w:w="100"/>
              <w:bottom w:type="dxa" w:w="60"/>
              <w:right w:type="dxa" w:w="100"/>
            </w:tcMar>
            <w:vAlign w:val="center"/>
          </w:tcPr>
          <w:p>
            <w:pPr>
              <w:jc w:val="left"/>
            </w:pPr>
            <w:r>
              <w:rPr>
                <w:b w:val="false"/>
                <w:bCs w:val="false"/>
                <w:sz w:val="19"/>
                <w:szCs w:val="19"/>
              </w:rPr>
              <w:t xml:space="preserve">Genuine break — claw back</w:t>
            </w:r>
          </w:p>
        </w:tc>
        <w:tc>
          <w:tcPr>
            <w:tcW w:type="dxa" w:w="700"/>
            <w:shd w:fill="EEF3F8" w:val="clear"/>
            <w:tcMar>
              <w:top w:type="dxa" w:w="60"/>
              <w:left w:type="dxa" w:w="100"/>
              <w:bottom w:type="dxa" w:w="60"/>
              <w:right w:type="dxa" w:w="100"/>
            </w:tcMar>
            <w:vAlign w:val="center"/>
          </w:tcPr>
          <w:p>
            <w:pPr>
              <w:jc w:val="left"/>
            </w:pPr>
            <w:r>
              <w:rPr>
                <w:b w:val="false"/>
                <w:bCs w:val="false"/>
                <w:sz w:val="19"/>
                <w:szCs w:val="19"/>
              </w:rPr>
              <w:t xml:space="preserve">3</w:t>
            </w:r>
          </w:p>
        </w:tc>
        <w:tc>
          <w:tcPr>
            <w:tcW w:type="dxa" w:w="1400"/>
            <w:shd w:fill="EEF3F8" w:val="clear"/>
            <w:tcMar>
              <w:top w:type="dxa" w:w="60"/>
              <w:left w:type="dxa" w:w="100"/>
              <w:bottom w:type="dxa" w:w="60"/>
              <w:right w:type="dxa" w:w="100"/>
            </w:tcMar>
            <w:vAlign w:val="center"/>
          </w:tcPr>
          <w:p>
            <w:pPr>
              <w:jc w:val="left"/>
            </w:pPr>
            <w:r>
              <w:rPr>
                <w:b w:val="false"/>
                <w:bCs w:val="false"/>
                <w:sz w:val="19"/>
                <w:szCs w:val="19"/>
              </w:rPr>
              <w:t xml:space="preserve">850.00</w:t>
            </w:r>
          </w:p>
        </w:tc>
      </w:tr>
      <w:tr>
        <w:trPr>
          <w:cantSplit/>
        </w:trPr>
        <w:tc>
          <w:tcPr>
            <w:tcW w:type="dxa" w:w="3700"/>
            <w:tcMar>
              <w:top w:type="dxa" w:w="60"/>
              <w:left w:type="dxa" w:w="100"/>
              <w:bottom w:type="dxa" w:w="60"/>
              <w:right w:type="dxa" w:w="100"/>
            </w:tcMar>
            <w:vAlign w:val="center"/>
          </w:tcPr>
          <w:p>
            <w:pPr>
              <w:jc w:val="left"/>
            </w:pPr>
            <w:r>
              <w:rPr>
                <w:b w:val="false"/>
                <w:bCs w:val="false"/>
                <w:sz w:val="19"/>
                <w:szCs w:val="19"/>
              </w:rPr>
              <w:t xml:space="preserve">Deposit SUCCESS, no settlement found</w:t>
            </w:r>
          </w:p>
        </w:tc>
        <w:tc>
          <w:tcPr>
            <w:tcW w:type="dxa" w:w="2560"/>
            <w:tcMar>
              <w:top w:type="dxa" w:w="60"/>
              <w:left w:type="dxa" w:w="100"/>
              <w:bottom w:type="dxa" w:w="60"/>
              <w:right w:type="dxa" w:w="100"/>
            </w:tcMar>
            <w:vAlign w:val="center"/>
          </w:tcPr>
          <w:p>
            <w:pPr>
              <w:jc w:val="left"/>
            </w:pPr>
            <w:r>
              <w:rPr>
                <w:b w:val="false"/>
                <w:bCs w:val="false"/>
                <w:sz w:val="19"/>
                <w:szCs w:val="19"/>
              </w:rPr>
              <w:t xml:space="preserve">Genuine break — chase</w:t>
            </w:r>
          </w:p>
        </w:tc>
        <w:tc>
          <w:tcPr>
            <w:tcW w:type="dxa" w:w="700"/>
            <w:tcMar>
              <w:top w:type="dxa" w:w="60"/>
              <w:left w:type="dxa" w:w="100"/>
              <w:bottom w:type="dxa" w:w="60"/>
              <w:right w:type="dxa" w:w="100"/>
            </w:tcMar>
            <w:vAlign w:val="center"/>
          </w:tcPr>
          <w:p>
            <w:pPr>
              <w:jc w:val="left"/>
            </w:pPr>
            <w:r>
              <w:rPr>
                <w:b w:val="false"/>
                <w:bCs w:val="false"/>
                <w:sz w:val="19"/>
                <w:szCs w:val="19"/>
              </w:rPr>
              <w:t xml:space="preserve">5</w:t>
            </w:r>
          </w:p>
        </w:tc>
        <w:tc>
          <w:tcPr>
            <w:tcW w:type="dxa" w:w="1400"/>
            <w:tcMar>
              <w:top w:type="dxa" w:w="60"/>
              <w:left w:type="dxa" w:w="100"/>
              <w:bottom w:type="dxa" w:w="60"/>
              <w:right w:type="dxa" w:w="100"/>
            </w:tcMar>
            <w:vAlign w:val="center"/>
          </w:tcPr>
          <w:p>
            <w:pPr>
              <w:jc w:val="left"/>
            </w:pPr>
            <w:r>
              <w:rPr>
                <w:b w:val="false"/>
                <w:bCs w:val="false"/>
                <w:sz w:val="19"/>
                <w:szCs w:val="19"/>
              </w:rPr>
              <w:t xml:space="preserve">2,700.00</w:t>
            </w:r>
          </w:p>
        </w:tc>
      </w:tr>
      <w:tr>
        <w:trPr>
          <w:cantSplit/>
        </w:trPr>
        <w:tc>
          <w:tcPr>
            <w:tcW w:type="dxa" w:w="3700"/>
            <w:shd w:fill="EEF3F8" w:val="clear"/>
            <w:tcMar>
              <w:top w:type="dxa" w:w="60"/>
              <w:left w:type="dxa" w:w="100"/>
              <w:bottom w:type="dxa" w:w="60"/>
              <w:right w:type="dxa" w:w="100"/>
            </w:tcMar>
            <w:vAlign w:val="center"/>
          </w:tcPr>
          <w:p>
            <w:pPr>
              <w:jc w:val="left"/>
            </w:pPr>
            <w:r>
              <w:rPr>
                <w:b w:val="false"/>
                <w:bCs w:val="false"/>
                <w:sz w:val="19"/>
                <w:szCs w:val="19"/>
              </w:rPr>
              <w:t xml:space="preserve">Created in the last 15 min (expected next week)</w:t>
            </w:r>
          </w:p>
        </w:tc>
        <w:tc>
          <w:tcPr>
            <w:tcW w:type="dxa" w:w="2560"/>
            <w:shd w:fill="EEF3F8" w:val="clear"/>
            <w:tcMar>
              <w:top w:type="dxa" w:w="60"/>
              <w:left w:type="dxa" w:w="100"/>
              <w:bottom w:type="dxa" w:w="60"/>
              <w:right w:type="dxa" w:w="100"/>
            </w:tcMar>
            <w:vAlign w:val="center"/>
          </w:tcPr>
          <w:p>
            <w:pPr>
              <w:jc w:val="left"/>
            </w:pPr>
            <w:r>
              <w:rPr>
                <w:b w:val="false"/>
                <w:bCs w:val="false"/>
                <w:sz w:val="19"/>
                <w:szCs w:val="19"/>
              </w:rPr>
              <w:t xml:space="preserve">Timing difference</w:t>
            </w:r>
          </w:p>
        </w:tc>
        <w:tc>
          <w:tcPr>
            <w:tcW w:type="dxa" w:w="700"/>
            <w:shd w:fill="EEF3F8" w:val="clear"/>
            <w:tcMar>
              <w:top w:type="dxa" w:w="60"/>
              <w:left w:type="dxa" w:w="100"/>
              <w:bottom w:type="dxa" w:w="60"/>
              <w:right w:type="dxa" w:w="100"/>
            </w:tcMar>
            <w:vAlign w:val="center"/>
          </w:tcPr>
          <w:p>
            <w:pPr>
              <w:jc w:val="left"/>
            </w:pPr>
            <w:r>
              <w:rPr>
                <w:b w:val="false"/>
                <w:bCs w:val="false"/>
                <w:sz w:val="19"/>
                <w:szCs w:val="19"/>
              </w:rPr>
              <w:t xml:space="preserve">3</w:t>
            </w:r>
          </w:p>
        </w:tc>
        <w:tc>
          <w:tcPr>
            <w:tcW w:type="dxa" w:w="1400"/>
            <w:shd w:fill="EEF3F8" w:val="clear"/>
            <w:tcMar>
              <w:top w:type="dxa" w:w="60"/>
              <w:left w:type="dxa" w:w="100"/>
              <w:bottom w:type="dxa" w:w="60"/>
              <w:right w:type="dxa" w:w="100"/>
            </w:tcMar>
            <w:vAlign w:val="center"/>
          </w:tcPr>
          <w:p>
            <w:pPr>
              <w:jc w:val="left"/>
            </w:pPr>
            <w:r>
              <w:rPr>
                <w:b w:val="false"/>
                <w:bCs w:val="false"/>
                <w:sz w:val="19"/>
                <w:szCs w:val="19"/>
              </w:rPr>
              <w:t xml:space="preserve">3,650.00</w:t>
            </w:r>
          </w:p>
        </w:tc>
      </w:tr>
      <w:tr>
        <w:trPr>
          <w:cantSplit/>
        </w:trPr>
        <w:tc>
          <w:tcPr>
            <w:tcW w:type="dxa" w:w="3700"/>
            <w:tcMar>
              <w:top w:type="dxa" w:w="60"/>
              <w:left w:type="dxa" w:w="100"/>
              <w:bottom w:type="dxa" w:w="60"/>
              <w:right w:type="dxa" w:w="100"/>
            </w:tcMar>
            <w:vAlign w:val="center"/>
          </w:tcPr>
          <w:p>
            <w:pPr>
              <w:jc w:val="left"/>
            </w:pPr>
            <w:r>
              <w:rPr>
                <w:b w:val="false"/>
                <w:bCs w:val="false"/>
                <w:sz w:val="19"/>
                <w:szCs w:val="19"/>
              </w:rPr>
              <w:t xml:space="preserve">Settled in the first 15 min (likely last week's)</w:t>
            </w:r>
          </w:p>
        </w:tc>
        <w:tc>
          <w:tcPr>
            <w:tcW w:type="dxa" w:w="2560"/>
            <w:tcMar>
              <w:top w:type="dxa" w:w="60"/>
              <w:left w:type="dxa" w:w="100"/>
              <w:bottom w:type="dxa" w:w="60"/>
              <w:right w:type="dxa" w:w="100"/>
            </w:tcMar>
            <w:vAlign w:val="center"/>
          </w:tcPr>
          <w:p>
            <w:pPr>
              <w:jc w:val="left"/>
            </w:pPr>
            <w:r>
              <w:rPr>
                <w:b w:val="false"/>
                <w:bCs w:val="false"/>
                <w:sz w:val="19"/>
                <w:szCs w:val="19"/>
              </w:rPr>
              <w:t xml:space="preserve">Timing difference</w:t>
            </w:r>
          </w:p>
        </w:tc>
        <w:tc>
          <w:tcPr>
            <w:tcW w:type="dxa" w:w="700"/>
            <w:tcMar>
              <w:top w:type="dxa" w:w="60"/>
              <w:left w:type="dxa" w:w="100"/>
              <w:bottom w:type="dxa" w:w="60"/>
              <w:right w:type="dxa" w:w="100"/>
            </w:tcMar>
            <w:vAlign w:val="center"/>
          </w:tcPr>
          <w:p>
            <w:pPr>
              <w:jc w:val="left"/>
            </w:pPr>
            <w:r>
              <w:rPr>
                <w:b w:val="false"/>
                <w:bCs w:val="false"/>
                <w:sz w:val="19"/>
                <w:szCs w:val="19"/>
              </w:rPr>
              <w:t xml:space="preserve">3</w:t>
            </w:r>
          </w:p>
        </w:tc>
        <w:tc>
          <w:tcPr>
            <w:tcW w:type="dxa" w:w="1400"/>
            <w:tcMar>
              <w:top w:type="dxa" w:w="60"/>
              <w:left w:type="dxa" w:w="100"/>
              <w:bottom w:type="dxa" w:w="60"/>
              <w:right w:type="dxa" w:w="100"/>
            </w:tcMar>
            <w:vAlign w:val="center"/>
          </w:tcPr>
          <w:p>
            <w:pPr>
              <w:jc w:val="left"/>
            </w:pPr>
            <w:r>
              <w:rPr>
                <w:b w:val="false"/>
                <w:bCs w:val="false"/>
                <w:sz w:val="19"/>
                <w:szCs w:val="19"/>
              </w:rPr>
              <w:t xml:space="preserve">2,600.00</w:t>
            </w:r>
          </w:p>
        </w:tc>
      </w:tr>
      <w:tr>
        <w:trPr>
          <w:cantSplit/>
        </w:trPr>
        <w:tc>
          <w:tcPr>
            <w:tcW w:type="dxa" w:w="3700"/>
            <w:shd w:fill="EEF3F8" w:val="clear"/>
            <w:tcMar>
              <w:top w:type="dxa" w:w="60"/>
              <w:left w:type="dxa" w:w="100"/>
              <w:bottom w:type="dxa" w:w="60"/>
              <w:right w:type="dxa" w:w="100"/>
            </w:tcMar>
            <w:vAlign w:val="center"/>
          </w:tcPr>
          <w:p>
            <w:pPr>
              <w:jc w:val="left"/>
            </w:pPr>
            <w:r>
              <w:rPr>
                <w:b w:val="false"/>
                <w:bCs w:val="false"/>
                <w:sz w:val="19"/>
                <w:szCs w:val="19"/>
              </w:rPr>
              <w:t xml:space="preserve">Rounding, exactly 1 cent</w:t>
            </w:r>
          </w:p>
        </w:tc>
        <w:tc>
          <w:tcPr>
            <w:tcW w:type="dxa" w:w="2560"/>
            <w:shd w:fill="EEF3F8" w:val="clear"/>
            <w:tcMar>
              <w:top w:type="dxa" w:w="60"/>
              <w:left w:type="dxa" w:w="100"/>
              <w:bottom w:type="dxa" w:w="60"/>
              <w:right w:type="dxa" w:w="100"/>
            </w:tcMar>
            <w:vAlign w:val="center"/>
          </w:tcPr>
          <w:p>
            <w:pPr>
              <w:jc w:val="left"/>
            </w:pPr>
            <w:r>
              <w:rPr>
                <w:b w:val="false"/>
                <w:bCs w:val="false"/>
                <w:sz w:val="19"/>
                <w:szCs w:val="19"/>
              </w:rPr>
              <w:t xml:space="preserve">Not a problem</w:t>
            </w:r>
          </w:p>
        </w:tc>
        <w:tc>
          <w:tcPr>
            <w:tcW w:type="dxa" w:w="700"/>
            <w:shd w:fill="EEF3F8" w:val="clear"/>
            <w:tcMar>
              <w:top w:type="dxa" w:w="60"/>
              <w:left w:type="dxa" w:w="100"/>
              <w:bottom w:type="dxa" w:w="60"/>
              <w:right w:type="dxa" w:w="100"/>
            </w:tcMar>
            <w:vAlign w:val="center"/>
          </w:tcPr>
          <w:p>
            <w:pPr>
              <w:jc w:val="left"/>
            </w:pPr>
            <w:r>
              <w:rPr>
                <w:b w:val="false"/>
                <w:bCs w:val="false"/>
                <w:sz w:val="19"/>
                <w:szCs w:val="19"/>
              </w:rPr>
              <w:t xml:space="preserve">3</w:t>
            </w:r>
          </w:p>
        </w:tc>
        <w:tc>
          <w:tcPr>
            <w:tcW w:type="dxa" w:w="1400"/>
            <w:shd w:fill="EEF3F8" w:val="clear"/>
            <w:tcMar>
              <w:top w:type="dxa" w:w="60"/>
              <w:left w:type="dxa" w:w="100"/>
              <w:bottom w:type="dxa" w:w="60"/>
              <w:right w:type="dxa" w:w="100"/>
            </w:tcMar>
            <w:vAlign w:val="center"/>
          </w:tcPr>
          <w:p>
            <w:pPr>
              <w:jc w:val="left"/>
            </w:pPr>
            <w:r>
              <w:rPr>
                <w:b w:val="false"/>
                <w:bCs w:val="false"/>
                <w:sz w:val="19"/>
                <w:szCs w:val="19"/>
              </w:rPr>
              <w:t xml:space="preserve">0.03</w:t>
            </w:r>
          </w:p>
        </w:tc>
      </w:tr>
      <w:tr>
        <w:trPr>
          <w:cantSplit/>
        </w:trPr>
        <w:tc>
          <w:tcPr>
            <w:tcW w:type="dxa" w:w="3700"/>
            <w:tcMar>
              <w:top w:type="dxa" w:w="60"/>
              <w:left w:type="dxa" w:w="100"/>
              <w:bottom w:type="dxa" w:w="60"/>
              <w:right w:type="dxa" w:w="100"/>
            </w:tcMar>
            <w:vAlign w:val="center"/>
          </w:tcPr>
          <w:p>
            <w:pPr>
              <w:jc w:val="left"/>
            </w:pPr>
            <w:r>
              <w:rPr>
                <w:b w:val="false"/>
                <w:bCs w:val="false"/>
                <w:sz w:val="19"/>
                <w:szCs w:val="19"/>
              </w:rPr>
              <w:t xml:space="preserve">Reference formatting differs (matched)</w:t>
            </w:r>
          </w:p>
        </w:tc>
        <w:tc>
          <w:tcPr>
            <w:tcW w:type="dxa" w:w="2560"/>
            <w:tcMar>
              <w:top w:type="dxa" w:w="60"/>
              <w:left w:type="dxa" w:w="100"/>
              <w:bottom w:type="dxa" w:w="60"/>
              <w:right w:type="dxa" w:w="100"/>
            </w:tcMar>
            <w:vAlign w:val="center"/>
          </w:tcPr>
          <w:p>
            <w:pPr>
              <w:jc w:val="left"/>
            </w:pPr>
            <w:r>
              <w:rPr>
                <w:b w:val="false"/>
                <w:bCs w:val="false"/>
                <w:sz w:val="19"/>
                <w:szCs w:val="19"/>
              </w:rPr>
              <w:t xml:space="preserve">Not a problem</w:t>
            </w:r>
          </w:p>
        </w:tc>
        <w:tc>
          <w:tcPr>
            <w:tcW w:type="dxa" w:w="700"/>
            <w:tcMar>
              <w:top w:type="dxa" w:w="60"/>
              <w:left w:type="dxa" w:w="100"/>
              <w:bottom w:type="dxa" w:w="60"/>
              <w:right w:type="dxa" w:w="100"/>
            </w:tcMar>
            <w:vAlign w:val="center"/>
          </w:tcPr>
          <w:p>
            <w:pPr>
              <w:jc w:val="left"/>
            </w:pPr>
            <w:r>
              <w:rPr>
                <w:b w:val="false"/>
                <w:bCs w:val="false"/>
                <w:sz w:val="19"/>
                <w:szCs w:val="19"/>
              </w:rPr>
              <w:t xml:space="preserve">6</w:t>
            </w:r>
          </w:p>
        </w:tc>
        <w:tc>
          <w:tcPr>
            <w:tcW w:type="dxa" w:w="1400"/>
            <w:tcMar>
              <w:top w:type="dxa" w:w="60"/>
              <w:left w:type="dxa" w:w="100"/>
              <w:bottom w:type="dxa" w:w="60"/>
              <w:right w:type="dxa" w:w="100"/>
            </w:tcMar>
            <w:vAlign w:val="center"/>
          </w:tcPr>
          <w:p>
            <w:pPr>
              <w:jc w:val="left"/>
            </w:pPr>
            <w:r>
              <w:rPr>
                <w:b w:val="false"/>
                <w:bCs w:val="false"/>
                <w:sz w:val="19"/>
                <w:szCs w:val="19"/>
              </w:rPr>
              <w:t xml:space="preserve">0.00</w:t>
            </w:r>
          </w:p>
        </w:tc>
      </w:tr>
    </w:tbl>
    <w:p>
      <w:pPr>
        <w:spacing w:after="160"/>
      </w:pPr>
      <w:r>
        <w:rPr>
          <w:i/>
          <w:iCs/>
          <w:color w:val="595959"/>
          <w:sz w:val="18"/>
          <w:szCs w:val="18"/>
        </w:rPr>
        <w:t xml:space="preserve">* Amount carried by the duplicate row only; the original row in each pair is 0. Only SUCCESS deposits credit a wallet, so each duplicate internal deposit credited the player twice for one payment. A dbt test (assert_recon_bridge_reconciles) fails the build if the bridge residual is ever not exactly zero.</w:t>
      </w:r>
    </w:p>
    <w:p>
      <w:pPr>
        <w:pStyle w:val="Heading3"/>
        <w:keepNext/>
        <w:keepLines/>
        <w:spacing w:after="100" w:before="200"/>
      </w:pPr>
      <w:r>
        <w:t xml:space="preserve">Assumptions</w:t>
      </w:r>
    </w:p>
    <w:p>
      <w:pPr>
        <w:pStyle w:val="ListParagraph"/>
        <w:numPr>
          <w:ilvl w:val="0"/>
          <w:numId w:val="2"/>
        </w:numPr>
        <w:spacing w:after="80"/>
      </w:pPr>
      <w:r>
        <w:t xml:space="preserve">Period 2026-09-01 00:00:00 to 2026-09-07 23:59:59 UTC inclusive; all times UTC; both files NAD only. Internal total = SUCCESS deposits; gateway total = SETTLED rows.</w:t>
      </w:r>
    </w:p>
    <w:p>
      <w:pPr>
        <w:pStyle w:val="ListParagraph"/>
        <w:numPr>
          <w:ilvl w:val="0"/>
          <w:numId w:val="2"/>
        </w:numPr>
        <w:spacing w:after="80"/>
      </w:pPr>
      <w:r>
        <w:t xml:space="preserve">References match after upper-casing and keeping only letters and digits. Fee = ROUND(2% × gross + 1.00, 2); any fee or net difference of 1 cent or more is a break; a gross difference of exactly 1 cent is rounding (Finance to confirm).</w:t>
      </w:r>
    </w:p>
    <w:p>
      <w:pPr>
        <w:pStyle w:val="ListParagraph"/>
        <w:numPr>
          <w:ilvl w:val="0"/>
          <w:numId w:val="2"/>
        </w:numPr>
        <w:spacing w:after="80"/>
      </w:pPr>
      <w:r>
        <w:t xml:space="preserve">Cut-off window of 15 minutes at each end. Settlements arrive 28 min after the deposit on median, 50 min at most, and the nearest unexplained items are 2 hours or more from either boundary, so the result doesn't depend on the window. The six timing items stay provisional until matched.</w:t>
      </w:r>
    </w:p>
    <w:p>
      <w:pPr>
        <w:pStyle w:val="ListParagraph"/>
        <w:numPr>
          <w:ilvl w:val="0"/>
          <w:numId w:val="2"/>
        </w:numPr>
        <w:spacing w:after="80"/>
      </w:pPr>
      <w:r>
        <w:t xml:space="preserve">Reversals are genuine breaks until the wallet debit is confirmed. For duplicates, the later row is the duplicate. The bridge is on gross, so fee and net errors are actions, not bridge lines. FAILED deposits with no settlement agree on both sides and aren't listed.</w:t>
      </w:r>
    </w:p>
    <w:p>
      <w:pPr>
        <w:pStyle w:val="Heading3"/>
        <w:keepNext/>
        <w:keepLines/>
        <w:spacing w:after="100" w:before="200"/>
      </w:pPr>
      <w:r>
        <w:t xml:space="preserve">How the figures were checked</w:t>
      </w:r>
    </w:p>
    <w:p>
      <w:pPr>
        <w:spacing w:after="160"/>
      </w:pPr>
      <w:r>
        <w:t xml:space="preserve">The categorisation was implemented three times: the MySQL script, the dbt model, and separately written pandas code (sql/04_independent_check.py) that works per deposit and per settlement instead of through a join. All three agree on all 317 rows individually, and on every category's count and rand total.</w:t>
      </w:r>
    </w:p>
    <w:p>
      <w:pPr>
        <w:keepNext/>
        <w:spacing w:before="200"/>
        <w:jc w:val="center"/>
      </w:pPr>
      <w:r>
        <w:drawing>
          <wp:inline distT="0" distB="0" distL="0" distR="0">
            <wp:extent cx="4953000" cy="2857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57500"/>
                    </a:xfrm>
                    <a:prstGeom prst="rect">
                      <a:avLst/>
                    </a:prstGeom>
                  </pic:spPr>
                </pic:pic>
              </a:graphicData>
            </a:graphic>
          </wp:inline>
        </w:drawing>
      </w:r>
    </w:p>
    <w:p>
      <w:pPr>
        <w:spacing w:after="300" w:before="80"/>
        <w:jc w:val="center"/>
      </w:pPr>
      <w:r>
        <w:rPr>
          <w:i/>
          <w:iCs/>
          <w:color w:val="595959"/>
          <w:sz w:val="20"/>
          <w:szCs w:val="20"/>
        </w:rPr>
        <w:t xml:space="preserve">Three implementations, identical results in every category (sql/05_agreement_chart.py).</w:t>
      </w:r>
    </w:p>
    <w:p>
      <w:pPr>
        <w:spacing w:after="160"/>
      </w:pPr>
      <w:r>
        <w:rPr>
          <w:i/>
          <w:iCs/>
        </w:rPr>
        <w:t xml:space="preserve">That check was added after an audit of an earlier draft found real problems, all now fixed. The draft had no test for net = gross − fee, which the brief requires, so it missed two short-paid settlements. It didn't quantify the fee overcharge. It counted four reference-formatting variants instead of six, because a case-insensitive database comparison hid three. It filed three start-of-week settlements as unrecognised money rather than timing. A later review by Codex found the fee check tolerated differences of up to 2 cents and a 2-cent gross difference could be labelled rounding; the rules are now exact, with boundary tests, and no figure changed. The bridge balanced throughout. The errors were in how the differences were labelled and summarised, which is why the categories are now cross-checked independently.</w:t>
      </w:r>
    </w:p>
    <w:p>
      <w:pPr>
        <w:pStyle w:val="Heading3"/>
        <w:keepNext/>
        <w:keepLines/>
        <w:spacing w:after="100" w:before="200"/>
      </w:pPr>
      <w:r>
        <w:t xml:space="preserve">Automating this daily</w:t>
      </w:r>
    </w:p>
    <w:p>
      <w:pPr>
        <w:pStyle w:val="ListParagraph"/>
        <w:numPr>
          <w:ilvl w:val="0"/>
          <w:numId w:val="2"/>
        </w:numPr>
        <w:spacing w:after="80"/>
      </w:pPr>
      <w:r>
        <w:t xml:space="preserve">Land both feeds daily as-is, never overwriting, and log control totals (row count, sum) per source before matching. A source-declared-vs-received mismatch is itself an alert.</w:t>
      </w:r>
    </w:p>
    <w:p>
      <w:pPr>
        <w:pStyle w:val="ListParagraph"/>
        <w:numPr>
          <w:ilvl w:val="0"/>
          <w:numId w:val="2"/>
        </w:numPr>
        <w:spacing w:after="80"/>
      </w:pPr>
      <w:r>
        <w:t xml:space="preserve">Run the categorisation as a scheduled dbt model; persist history, never overwrite yesterday's result.</w:t>
      </w:r>
    </w:p>
    <w:p>
      <w:pPr>
        <w:pStyle w:val="ListParagraph"/>
        <w:numPr>
          <w:ilvl w:val="0"/>
          <w:numId w:val="2"/>
        </w:numPr>
        <w:spacing w:after="80"/>
      </w:pPr>
      <w:r>
        <w:t xml:space="preserve">Alert tiers: page immediately on "wallet not credited" or "unrecognised settlement"; same-day on new duplicates or disputes above a materiality threshold; daily digest for reversals and timing items still within the cut-off window.</w:t>
      </w:r>
    </w:p>
    <w:p>
      <w:pPr>
        <w:pStyle w:val="ListParagraph"/>
        <w:numPr>
          <w:ilvl w:val="0"/>
          <w:numId w:val="2"/>
        </w:numPr>
        <w:spacing w:after="80"/>
      </w:pPr>
      <w:r>
        <w:t xml:space="preserve">Ageing: unresolved after 3 days escalates to Finance management; unresolved after 7 days requires a signed-off write-off or credit note.</w:t>
      </w:r>
    </w:p>
    <w:p>
      <w:pPr>
        <w:pStyle w:val="Heading1"/>
        <w:pageBreakBefore/>
        <w:spacing w:after="200" w:before="400"/>
      </w:pPr>
      <w:r>
        <w:t xml:space="preserve">Exercise 2 — Incremental, Restartable API Ingestion</w:t>
      </w:r>
    </w:p>
    <w:p>
      <w:pPr>
        <w:spacing w:after="160"/>
      </w:pPr>
      <w:r>
        <w:rPr>
          <w:i/>
          <w:iCs/>
          <w:color w:val="595959"/>
          <w:sz w:val="20"/>
          <w:szCs w:val="20"/>
        </w:rPr>
        <w:t xml:space="preserve">Tools used: Python 3 (standard library HTTP, plus pymysql), MySQL 8 / MariaDB for the target and control tables (the brief allows any database; this one also holds the other exercises and dbt), Postman/Newman for the API contract.</w:t>
      </w:r>
    </w:p>
    <w:p>
      <w:pPr>
        <w:pStyle w:val="Heading2"/>
        <w:keepNext/>
        <w:keepLines/>
        <w:spacing w:after="150" w:before="300"/>
      </w:pPr>
      <w:r>
        <w:t xml:space="preserve">Design</w:t>
      </w:r>
    </w:p>
    <w:p>
      <w:pPr>
        <w:pStyle w:val="ListParagraph"/>
        <w:numPr>
          <w:ilvl w:val="0"/>
          <w:numId w:val="2"/>
        </w:numPr>
        <w:spacing w:after="80"/>
      </w:pPr>
      <w:r>
        <w:t xml:space="preserve">Progress: a checkpoint table holds the last (updated_at, id) fully committed. Each run resumes with updated_since = that time (inclusive, per the API doc) and pages with the server's cursor. The API moves updated_at forward when a record changes, so one position covers new and changed records.</w:t>
      </w:r>
    </w:p>
    <w:p>
      <w:pPr>
        <w:pStyle w:val="ListParagraph"/>
        <w:numPr>
          <w:ilvl w:val="0"/>
          <w:numId w:val="2"/>
        </w:numPr>
        <w:spacing w:after="80"/>
      </w:pPr>
      <w:r>
        <w:t xml:space="preserve">No duplicates: id is the primary key and every write is an upsert on it. Repeated rows within a page are collapsed; a record is written only if it is new or its updated_at moved forward, so an older version never overwrites a newer one. A page's rows, its rejects, the checkpoint and the run counters commit in one transaction, so a kill loses at most the uncommitted page, which the next run re-reads.</w:t>
      </w:r>
    </w:p>
    <w:p>
      <w:pPr>
        <w:pStyle w:val="ListParagraph"/>
        <w:numPr>
          <w:ilvl w:val="0"/>
          <w:numId w:val="2"/>
        </w:numPr>
        <w:spacing w:after="80"/>
      </w:pPr>
      <w:r>
        <w:t xml:space="preserve">Failures: 429 waits for Retry-After; 500 and network errors retry with 2, 4, 8… s backoff, then the run ends FAILED with exit code 1 and the checkpoint unchanged. A database lock stops two scheduled runs overlapping; a run killed mid-way is marked ABANDONED by the next.</w:t>
      </w:r>
    </w:p>
    <w:p>
      <w:pPr>
        <w:pStyle w:val="ListParagraph"/>
        <w:numPr>
          <w:ilvl w:val="0"/>
          <w:numId w:val="2"/>
        </w:numPr>
        <w:spacing w:after="80"/>
      </w:pPr>
      <w:r>
        <w:t xml:space="preserve">Unclean data: numbers sent as strings are coerced; records with a missing player_id, an unparseable amount or time, or a negative amount go to ingest_rejects with the reason and raw JSON, once per distinct payload. The run carries on.</w:t>
      </w:r>
    </w:p>
    <w:p>
      <w:pPr>
        <w:pStyle w:val="ListParagraph"/>
        <w:numPr>
          <w:ilvl w:val="0"/>
          <w:numId w:val="2"/>
        </w:numPr>
        <w:spacing w:after="80"/>
      </w:pPr>
      <w:r>
        <w:t xml:space="preserve">Monitoring: ingest_runs records, per run, pages, new / changed / unchanged / rejected rows, 429 and 500 counts, start and end time, status and any error; the checkpoint is the last successful position. checks.sql holds the monitoring and alert queries.</w:t>
      </w:r>
    </w:p>
    <w:p>
      <w:pPr>
        <w:pStyle w:val="Heading2"/>
        <w:keepNext/>
        <w:keepLines/>
        <w:spacing w:after="150" w:before="300"/>
      </w:pPr>
      <w:r>
        <w:t xml:space="preserve">Evidence: kill, restart, new activity</w:t>
      </w:r>
    </w:p>
    <w:p>
      <w:pPr>
        <w:spacing w:after="160"/>
      </w:pPr>
      <w:r>
        <w:t xml:space="preserve">demo.py reproduces the whole sequence on any machine, with the mock API's faults switched on. Run 1 uses 50-record pages and a pause before each commit, and is hard-killed while page 2 is uncommitted. Only page 1 (50 rows) is in the table; the restart marks run 1 ABANDONED, resumes from the checkpoint and loads the rest.</w:t>
      </w:r>
    </w:p>
    <w:p>
      <w:pPr>
        <w:keepNext/>
        <w:spacing w:before="200"/>
        <w:jc w:val="center"/>
      </w:pPr>
      <w:r>
        <w:drawing>
          <wp:inline distT="0" distB="0" distL="0" distR="0">
            <wp:extent cx="5334000" cy="37909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90950"/>
                    </a:xfrm>
                    <a:prstGeom prst="rect">
                      <a:avLst/>
                    </a:prstGeom>
                  </pic:spPr>
                </pic:pic>
              </a:graphicData>
            </a:graphic>
          </wp:inline>
        </w:drawing>
      </w:r>
    </w:p>
    <w:p>
      <w:pPr>
        <w:spacing w:after="300" w:before="80"/>
        <w:jc w:val="center"/>
      </w:pPr>
      <w:r>
        <w:rPr>
          <w:i/>
          <w:iCs/>
          <w:color w:val="595959"/>
          <w:sz w:val="20"/>
          <w:szCs w:val="20"/>
        </w:rPr>
        <w:t xml:space="preserve">demo.py, steps 3–6: hard kill mid-page, restart from the checkpoint, check every id against the API.</w:t>
      </w:r>
    </w:p>
    <w:p>
      <w:pPr>
        <w:spacing w:after="160"/>
      </w:pPr>
      <w:r>
        <w:t xml:space="preserve">Run 3, straight after, finds nothing new or changed. After the interviewer's step (POST /admin/advance), run 4 loads exactly the 25 new and 40 changed records. verify_against_api.py then reads the whole API and compares id by id: 1,025 ids = 1,024 loaded + 1 quarantined (TX000777, missing player_id), with 0 missing, 0 stale versions and 0 duplicates. A live 500 and a 429 were retried along the way.</w:t>
      </w:r>
    </w:p>
    <w:p>
      <w:pPr>
        <w:keepNext/>
        <w:spacing w:before="200"/>
        <w:jc w:val="center"/>
      </w:pPr>
      <w:r>
        <w:drawing>
          <wp:inline distT="0" distB="0" distL="0" distR="0">
            <wp:extent cx="5334000" cy="3333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300" w:before="80"/>
        <w:jc w:val="center"/>
      </w:pPr>
      <w:r>
        <w:rPr>
          <w:i/>
          <w:iCs/>
          <w:color w:val="595959"/>
          <w:sz w:val="20"/>
          <w:szCs w:val="20"/>
        </w:rPr>
        <w:t xml:space="preserve">demo.py, steps 7–10: rerun, new provider activity, incremental rerun, final state.</w:t>
      </w:r>
    </w:p>
    <w:p>
      <w:pPr>
        <w:spacing w:after="160"/>
      </w:pPr>
      <w:r>
        <w:t xml:space="preserve">The load continues incrementally into the reporting layer: the dbt model fct_api_transactions picks up only rows the ingestion stamped since its last run. incremental_demo.py shows 999 rows on the first build, 0 on a rerun, and exactly the 65 new and changed rows after the new activity, with the mart then equal to the source.</w:t>
      </w:r>
    </w:p>
    <w:p>
      <w:pPr>
        <w:pStyle w:val="Heading2"/>
        <w:keepNext/>
        <w:keepLines/>
        <w:spacing w:after="150" w:before="300"/>
      </w:pPr>
      <w:r>
        <w:t xml:space="preserve">Checks and tests</w:t>
      </w:r>
    </w:p>
    <w:p>
      <w:pPr>
        <w:pStyle w:val="ListParagraph"/>
        <w:numPr>
          <w:ilvl w:val="0"/>
          <w:numId w:val="2"/>
        </w:numPr>
        <w:spacing w:after="80"/>
      </w:pPr>
      <w:r>
        <w:t xml:space="preserve">checks.sql: duplicates, reject accounting, run history, stale or failed runs, and the last successful position.</w:t>
      </w:r>
    </w:p>
    <w:p>
      <w:pPr>
        <w:pStyle w:val="ListParagraph"/>
        <w:numPr>
          <w:ilvl w:val="0"/>
          <w:numId w:val="2"/>
        </w:numPr>
        <w:spacing w:after="80"/>
      </w:pPr>
      <w:r>
        <w:t xml:space="preserve">verify_against_api.py: every id in the table against the API (missing, unexpected, stale, duplicates); exits 1 on any mismatch.</w:t>
      </w:r>
    </w:p>
    <w:p>
      <w:pPr>
        <w:pStyle w:val="ListParagraph"/>
        <w:numPr>
          <w:ilvl w:val="0"/>
          <w:numId w:val="2"/>
        </w:numPr>
        <w:spacing w:after="80"/>
      </w:pPr>
      <w:r>
        <w:t xml:space="preserve">9 unit tests with no network or database: exit codes (401, exhausted 429 and 500 retries, success), the run lock, validation of unclean records, and the new / changed / unchanged classification.</w:t>
      </w:r>
    </w:p>
    <w:p>
      <w:pPr>
        <w:pStyle w:val="Heading2"/>
        <w:keepNext/>
        <w:keepLines/>
        <w:spacing w:after="150" w:before="300"/>
      </w:pPr>
      <w:r>
        <w:t xml:space="preserve">API contract — Postman</w:t>
      </w:r>
    </w:p>
    <w:p>
      <w:pPr>
        <w:spacing w:after="160"/>
      </w:pPr>
      <w:r>
        <w:t xml:space="preserve">A Postman collection documents the API's pagination, filtering, auth and admin-simulation behaviour, and includes a self-paginating request that walks every page and reports the total record count.</w:t>
      </w:r>
    </w:p>
    <w:p>
      <w:pPr>
        <w:keepNext/>
        <w:spacing w:before="200"/>
        <w:jc w:val="center"/>
      </w:pPr>
      <w:r>
        <w:drawing>
          <wp:inline distT="0" distB="0" distL="0" distR="0">
            <wp:extent cx="5334000" cy="37528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52850"/>
                    </a:xfrm>
                    <a:prstGeom prst="rect">
                      <a:avLst/>
                    </a:prstGeom>
                  </pic:spPr>
                </pic:pic>
              </a:graphicData>
            </a:graphic>
          </wp:inline>
        </w:drawing>
      </w:r>
    </w:p>
    <w:p>
      <w:pPr>
        <w:spacing w:after="300" w:before="80"/>
        <w:jc w:val="center"/>
      </w:pPr>
      <w:r>
        <w:rPr>
          <w:i/>
          <w:iCs/>
          <w:color w:val="595959"/>
          <w:sz w:val="20"/>
          <w:szCs w:val="20"/>
        </w:rPr>
        <w:t xml:space="preserve">Newman run of the Exercise 2 collection.</w:t>
      </w:r>
    </w:p>
    <w:p>
      <w:pPr>
        <w:pStyle w:val="Heading2"/>
        <w:keepNext/>
        <w:keepLines/>
        <w:spacing w:after="150" w:before="300"/>
      </w:pPr>
      <w:r>
        <w:t xml:space="preserve">Live run — Postman Desktop against the local mock API</w:t>
      </w:r>
    </w:p>
    <w:p>
      <w:pPr>
        <w:spacing w:after="160"/>
      </w:pPr>
      <w:r>
        <w:t xml:space="preserve">The same collection was run in Postman Desktop on a Windows workstation against mock_api.py started from PyCharm, an independent environment from the one the code was built in.</w:t>
      </w:r>
    </w:p>
    <w:p>
      <w:pPr>
        <w:keepNext/>
        <w:spacing w:before="200"/>
        <w:jc w:val="center"/>
      </w:pPr>
      <w:r>
        <w:drawing>
          <wp:inline distT="0" distB="0" distL="0" distR="0">
            <wp:extent cx="5715000" cy="3143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43250"/>
                    </a:xfrm>
                    <a:prstGeom prst="rect">
                      <a:avLst/>
                    </a:prstGeom>
                  </pic:spPr>
                </pic:pic>
              </a:graphicData>
            </a:graphic>
          </wp:inline>
        </w:drawing>
      </w:r>
    </w:p>
    <w:p>
      <w:pPr>
        <w:spacing w:after="300" w:before="80"/>
        <w:jc w:val="center"/>
      </w:pPr>
      <w:r>
        <w:rPr>
          <w:i/>
          <w:iCs/>
          <w:color w:val="595959"/>
          <w:sz w:val="20"/>
          <w:szCs w:val="20"/>
        </w:rPr>
        <w:t xml:space="preserve">mock_api.py running in PyCharm: "Mock API on http://127.0.0.1:8000 (faults on)".</w:t>
      </w:r>
    </w:p>
    <w:p>
      <w:pPr>
        <w:keepNext/>
        <w:spacing w:before="200"/>
        <w:jc w:val="center"/>
      </w:pPr>
      <w:r>
        <w:drawing>
          <wp:inline distT="0" distB="0" distL="0" distR="0">
            <wp:extent cx="4381500" cy="30003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000375"/>
                    </a:xfrm>
                    <a:prstGeom prst="rect">
                      <a:avLst/>
                    </a:prstGeom>
                  </pic:spPr>
                </pic:pic>
              </a:graphicData>
            </a:graphic>
          </wp:inline>
        </w:drawing>
      </w:r>
    </w:p>
    <w:p>
      <w:pPr>
        <w:spacing w:after="300" w:before="80"/>
        <w:jc w:val="center"/>
      </w:pPr>
      <w:r>
        <w:rPr>
          <w:i/>
          <w:iCs/>
          <w:color w:val="595959"/>
          <w:sz w:val="20"/>
          <w:szCs w:val="20"/>
        </w:rPr>
        <w:t xml:space="preserve">Collection Runner configuration: all seven requests, one iteration.</w:t>
      </w:r>
    </w:p>
    <w:p>
      <w:pPr>
        <w:keepNext/>
        <w:spacing w:before="200"/>
        <w:jc w:val="center"/>
      </w:pPr>
      <w:r>
        <w:drawing>
          <wp:inline distT="0" distB="0" distL="0" distR="0">
            <wp:extent cx="4572000" cy="37909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790950"/>
                    </a:xfrm>
                    <a:prstGeom prst="rect">
                      <a:avLst/>
                    </a:prstGeom>
                  </pic:spPr>
                </pic:pic>
              </a:graphicData>
            </a:graphic>
          </wp:inline>
        </w:drawing>
      </w:r>
    </w:p>
    <w:p>
      <w:pPr>
        <w:spacing w:after="300" w:before="80"/>
        <w:jc w:val="center"/>
      </w:pPr>
      <w:r>
        <w:rPr>
          <w:i/>
          <w:iCs/>
          <w:color w:val="595959"/>
          <w:sz w:val="20"/>
          <w:szCs w:val="20"/>
        </w:rPr>
        <w:t xml:space="preserve">Runner results, pages 1–4 of the self-paginating count. Page 1 returns 201 rows for limit=200 (an in-page repeated row); page 4 hits a live 500 and retries the same page.</w:t>
      </w:r>
    </w:p>
    <w:p>
      <w:pPr>
        <w:keepNext/>
        <w:spacing w:before="200"/>
        <w:jc w:val="center"/>
      </w:pPr>
      <w:r>
        <w:drawing>
          <wp:inline distT="0" distB="0" distL="0" distR="0">
            <wp:extent cx="4572000" cy="37909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790950"/>
                    </a:xfrm>
                    <a:prstGeom prst="rect">
                      <a:avLst/>
                    </a:prstGeom>
                  </pic:spPr>
                </pic:pic>
              </a:graphicData>
            </a:graphic>
          </wp:inline>
        </w:drawing>
      </w:r>
    </w:p>
    <w:p>
      <w:pPr>
        <w:spacing w:after="300" w:before="80"/>
        <w:jc w:val="center"/>
      </w:pPr>
      <w:r>
        <w:rPr>
          <w:i/>
          <w:iCs/>
          <w:color w:val="595959"/>
          <w:sz w:val="20"/>
          <w:szCs w:val="20"/>
        </w:rPr>
        <w:t xml:space="preserve">Runner results, pages 4–6: DONE — total rows returned by the API: 1,027 across 6 pages.</w:t>
      </w:r>
    </w:p>
    <w:p>
      <w:pPr>
        <w:spacing w:after="160"/>
      </w:pPr>
      <w:r>
        <w:t xml:space="preserve">Two assertions fail on request 2 ("Next page"), a one-shot documentation request with no retry logic that happened to land on an injected 429; only the counting request retries. 1,027 rather than 1,025 because the raw count includes the API's in-page repeated rows, which ingest.py collapses.</w:t>
      </w:r>
    </w:p>
    <w:p>
      <w:pPr>
        <w:pStyle w:val="Heading2"/>
        <w:keepNext/>
        <w:keepLines/>
        <w:spacing w:after="150" w:before="300"/>
      </w:pPr>
      <w:r>
        <w:t xml:space="preserve">What I'd change for production</w:t>
      </w:r>
    </w:p>
    <w:p>
      <w:pPr>
        <w:pStyle w:val="ListParagraph"/>
        <w:numPr>
          <w:ilvl w:val="0"/>
          <w:numId w:val="2"/>
        </w:numPr>
        <w:spacing w:after="80"/>
      </w:pPr>
      <w:r>
        <w:t xml:space="preserve">Scheduling: Airflow or cron every few minutes; the lock already makes overlapping runs harmless.</w:t>
      </w:r>
    </w:p>
    <w:p>
      <w:pPr>
        <w:pStyle w:val="ListParagraph"/>
        <w:numPr>
          <w:ilvl w:val="0"/>
          <w:numId w:val="2"/>
        </w:numPr>
        <w:spacing w:after="80"/>
      </w:pPr>
      <w:r>
        <w:t xml:space="preserve">Alerting: page on a non-zero exit code, a run stuck RUNNING past one interval, a rising reject rate, or checkpoint lag.</w:t>
      </w:r>
    </w:p>
    <w:p>
      <w:pPr>
        <w:pStyle w:val="ListParagraph"/>
        <w:numPr>
          <w:ilvl w:val="0"/>
          <w:numId w:val="2"/>
        </w:numPr>
        <w:spacing w:after="80"/>
      </w:pPr>
      <w:r>
        <w:t xml:space="preserve">Secrets: the API key and database password come from environment variables today; in production, from a secrets manager.</w:t>
      </w:r>
    </w:p>
    <w:p>
      <w:pPr>
        <w:pStyle w:val="ListParagraph"/>
        <w:numPr>
          <w:ilvl w:val="0"/>
          <w:numId w:val="2"/>
        </w:numPr>
        <w:spacing w:after="80"/>
      </w:pPr>
      <w:r>
        <w:t xml:space="preserve">Scale: bulk-load each page into a staging table and MERGE; partition by date; split id ranges across workers if the rate limit becomes the bottleneck.</w:t>
      </w:r>
    </w:p>
    <w:p>
      <w:pPr>
        <w:pStyle w:val="Heading1"/>
        <w:pageBreakBefore/>
        <w:spacing w:after="200" w:before="400"/>
      </w:pPr>
      <w:r>
        <w:t xml:space="preserve">Exercise 3 — Database Design: Players, Wallets, Bets, Bonuses</w:t>
      </w:r>
    </w:p>
    <w:p>
      <w:pPr>
        <w:spacing w:after="160"/>
      </w:pPr>
      <w:r>
        <w:rPr>
          <w:i/>
          <w:iCs/>
          <w:color w:val="595959"/>
          <w:sz w:val="20"/>
          <w:szCs w:val="20"/>
        </w:rPr>
        <w:t xml:space="preserve">Tools used: MySQL 8.0 for the schema (cross-verified against MariaDB 10.11), Mermaid for the ERD, dbt for the reporting-model mapping.</w:t>
      </w:r>
    </w:p>
    <w:p>
      <w:pPr>
        <w:pStyle w:val="Heading2"/>
        <w:keepNext/>
        <w:keepLines/>
        <w:spacing w:after="150" w:before="300"/>
      </w:pPr>
      <w:r>
        <w:t xml:space="preserve">Entity-relationship diagram</w:t>
      </w:r>
    </w:p>
    <w:p>
      <w:pPr>
        <w:keepNext/>
        <w:spacing w:before="200"/>
        <w:jc w:val="center"/>
      </w:pPr>
      <w:r>
        <w:drawing>
          <wp:inline distT="0" distB="0" distL="0" distR="0">
            <wp:extent cx="5905500" cy="51625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5162550"/>
                    </a:xfrm>
                    <a:prstGeom prst="rect">
                      <a:avLst/>
                    </a:prstGeom>
                  </pic:spPr>
                </pic:pic>
              </a:graphicData>
            </a:graphic>
          </wp:inline>
        </w:drawing>
      </w:r>
    </w:p>
    <w:p>
      <w:pPr>
        <w:spacing w:after="300" w:before="80"/>
        <w:jc w:val="center"/>
      </w:pPr>
      <w:r>
        <w:rPr>
          <w:i/>
          <w:iCs/>
          <w:color w:val="595959"/>
          <w:sz w:val="20"/>
          <w:szCs w:val="20"/>
        </w:rPr>
        <w:t xml:space="preserve">23-table operational schema — full DDL in exercise3-schema-design/ddl.sql, verified to run clean on both MySQL 8.0 and MariaDB 10.11.</w:t>
      </w:r>
    </w:p>
    <w:p>
      <w:pPr>
        <w:pStyle w:val="Heading2"/>
        <w:keepNext/>
        <w:keepLines/>
        <w:spacing w:after="150" w:before="300"/>
      </w:pPr>
      <w:r>
        <w:t xml:space="preserve">Design principles</w:t>
      </w:r>
    </w:p>
    <w:p>
      <w:pPr>
        <w:pStyle w:val="Heading3"/>
        <w:keepNext/>
        <w:keepLines/>
        <w:spacing w:after="100" w:before="200"/>
      </w:pPr>
      <w:r>
        <w:t xml:space="preserve">Money and time</w:t>
      </w:r>
    </w:p>
    <w:p>
      <w:pPr>
        <w:spacing w:after="160"/>
      </w:pPr>
      <w:r>
        <w:t xml:space="preserve">DECIMAL(18,4) everywhere a balance or amount is stored — never FLOAT/DOUBLE. DATETIME(6), always UTC, columns suffixed _at_utc; MySQL's TIMESTAMP is deliberately avoided because it silently converts using the session/server time zone.</w:t>
      </w:r>
    </w:p>
    <w:p>
      <w:pPr>
        <w:pStyle w:val="Heading3"/>
        <w:keepNext/>
        <w:keepLines/>
        <w:spacing w:after="100" w:before="200"/>
      </w:pPr>
      <w:r>
        <w:t xml:space="preserve">Balance correctness</w:t>
      </w:r>
    </w:p>
    <w:p>
      <w:pPr>
        <w:spacing w:after="160"/>
      </w:pPr>
      <w:r>
        <w:t xml:space="preserve">wallets.real_balance / bonus_balance are a materialised cache, not the source of truth — wallet_transactions (an append-only ledger) is. A balance at any point in time is SUM(credit) − SUM(debit) up to that moment, proven directly by example query (c) below. Corrections and reversals are new rows referencing the original (reversal_of_wallet_txn_id), never edits; every row carries a deterministic idempotency_key so replaying an event can never double-post it. A dbt test (assert_wallet_cache_matches_ledger) fails the build if the cache ever disagrees with the ledger.</w:t>
      </w:r>
    </w:p>
    <w:p>
      <w:pPr>
        <w:pStyle w:val="Heading3"/>
        <w:keepNext/>
        <w:keepLines/>
        <w:spacing w:after="100" w:before="200"/>
      </w:pPr>
      <w:r>
        <w:t xml:space="preserve">History over time</w:t>
      </w:r>
    </w:p>
    <w:p>
      <w:pPr>
        <w:spacing w:after="160"/>
      </w:pPr>
      <w:r>
        <w:t xml:space="preserve">player_vip_tier_history and player_tag_history are SCD Type 2 (a new row per change, valid_from/valid_to), so "what tier was this player on 3 September" is answerable, not just "what tier are they now".</w:t>
      </w:r>
    </w:p>
    <w:p>
      <w:pPr>
        <w:pStyle w:val="Heading3"/>
        <w:keepNext/>
        <w:keepLines/>
        <w:spacing w:after="100" w:before="200"/>
      </w:pPr>
      <w:r>
        <w:t xml:space="preserve">Protecting personal information</w:t>
      </w:r>
    </w:p>
    <w:p>
      <w:pPr>
        <w:spacing w:after="160"/>
      </w:pPr>
      <w:r>
        <w:t xml:space="preserve">player_identity is a separate table, joined only by player_id — every other table (bets, wallet transactions, bonuses) never sees a name or ID number. In production: application-layer encryption on sensitive fields, a dedicated low-privilege DB role, and every read of the identity table logged.</w:t>
      </w:r>
    </w:p>
    <w:p>
      <w:pPr>
        <w:pStyle w:val="Heading2"/>
        <w:keepNext/>
        <w:keepLines/>
        <w:spacing w:after="150" w:before="300"/>
      </w:pPr>
      <w:r>
        <w:t xml:space="preserve">The four required queries — verified output</w:t>
      </w:r>
    </w:p>
    <w:p>
      <w:pPr>
        <w:spacing w:after="160"/>
      </w:pPr>
      <w:r>
        <w:t xml:space="preserve">Run against the seed data in exercise3-schema-design/seed.sql; identical results on MySQL 8.0 and MariaDB 10.11.</w:t>
      </w:r>
    </w:p>
    <w:p>
      <w:pPr>
        <w:keepNext/>
        <w:spacing w:before="200"/>
        <w:jc w:val="center"/>
      </w:pPr>
      <w:r>
        <w:drawing>
          <wp:inline distT="0" distB="0" distL="0" distR="0">
            <wp:extent cx="5334000" cy="13144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314450"/>
                    </a:xfrm>
                    <a:prstGeom prst="rect">
                      <a:avLst/>
                    </a:prstGeom>
                  </pic:spPr>
                </pic:pic>
              </a:graphicData>
            </a:graphic>
          </wp:inline>
        </w:drawing>
      </w:r>
    </w:p>
    <w:p>
      <w:pPr>
        <w:spacing w:after="300" w:before="80"/>
        <w:jc w:val="center"/>
      </w:pPr>
      <w:r>
        <w:rPr>
          <w:i/>
          <w:iCs/>
          <w:color w:val="595959"/>
          <w:sz w:val="20"/>
          <w:szCs w:val="20"/>
        </w:rPr>
        <w:t xml:space="preserve">mysql -- jsb_platform -- example_queries.sql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3864" w:val="clear"/>
            <w:tcMar>
              <w:top w:type="dxa" w:w="60"/>
              <w:left w:type="dxa" w:w="100"/>
              <w:bottom w:type="dxa" w:w="60"/>
              <w:right w:type="dxa" w:w="100"/>
            </w:tcMar>
            <w:vAlign w:val="center"/>
          </w:tcPr>
          <w:p>
            <w:pPr>
              <w:jc w:val="left"/>
            </w:pPr>
            <w:r>
              <w:rPr>
                <w:b/>
                <w:bCs/>
                <w:color w:val="FFFFFF"/>
                <w:sz w:val="19"/>
                <w:szCs w:val="19"/>
              </w:rPr>
              <w:t xml:space="preserve">Query</w:t>
            </w:r>
          </w:p>
        </w:tc>
        <w:tc>
          <w:tcPr>
            <w:tcW w:type="dxa" w:w="5960"/>
            <w:shd w:fill="1F3864" w:val="clear"/>
            <w:tcMar>
              <w:top w:type="dxa" w:w="60"/>
              <w:left w:type="dxa" w:w="100"/>
              <w:bottom w:type="dxa" w:w="60"/>
              <w:right w:type="dxa" w:w="100"/>
            </w:tcMar>
            <w:vAlign w:val="center"/>
          </w:tcPr>
          <w:p>
            <w:pPr>
              <w:jc w:val="left"/>
            </w:pPr>
            <w:r>
              <w:rPr>
                <w:b/>
                <w:bCs/>
                <w:color w:val="FFFFFF"/>
                <w:sz w:val="19"/>
                <w:szCs w:val="19"/>
              </w:rPr>
              <w:t xml:space="preserve">Result</w:t>
            </w:r>
          </w:p>
        </w:tc>
      </w:tr>
      <w:tr>
        <w:trPr>
          <w:cantSplit/>
        </w:trPr>
        <w:tc>
          <w:tcPr>
            <w:tcW w:type="dxa" w:w="3400"/>
            <w:tcMar>
              <w:top w:type="dxa" w:w="60"/>
              <w:left w:type="dxa" w:w="100"/>
              <w:bottom w:type="dxa" w:w="60"/>
              <w:right w:type="dxa" w:w="100"/>
            </w:tcMar>
            <w:vAlign w:val="center"/>
          </w:tcPr>
          <w:p>
            <w:pPr>
              <w:jc w:val="left"/>
            </w:pPr>
            <w:r>
              <w:rPr>
                <w:b w:val="false"/>
                <w:bCs w:val="false"/>
                <w:sz w:val="19"/>
                <w:szCs w:val="19"/>
              </w:rPr>
              <w:t xml:space="preserve">(a) NGR by product for a month</w:t>
            </w:r>
          </w:p>
        </w:tc>
        <w:tc>
          <w:tcPr>
            <w:tcW w:type="dxa" w:w="5960"/>
            <w:tcMar>
              <w:top w:type="dxa" w:w="60"/>
              <w:left w:type="dxa" w:w="100"/>
              <w:bottom w:type="dxa" w:w="60"/>
              <w:right w:type="dxa" w:w="100"/>
            </w:tcMar>
            <w:vAlign w:val="center"/>
          </w:tcPr>
          <w:p>
            <w:pPr>
              <w:jc w:val="left"/>
            </w:pPr>
            <w:r>
              <w:rPr>
                <w:b w:val="false"/>
                <w:bCs w:val="false"/>
                <w:sz w:val="19"/>
                <w:szCs w:val="19"/>
              </w:rPr>
              <w:t xml:space="preserve">sportsbook -160.00 · casino -30.00 · retail 100.00 (NAD)</w:t>
            </w:r>
          </w:p>
        </w:tc>
      </w:tr>
      <w:tr>
        <w:trPr>
          <w:cantSplit/>
        </w:trPr>
        <w:tc>
          <w:tcPr>
            <w:tcW w:type="dxa" w:w="3400"/>
            <w:shd w:fill="EEF3F8" w:val="clear"/>
            <w:tcMar>
              <w:top w:type="dxa" w:w="60"/>
              <w:left w:type="dxa" w:w="100"/>
              <w:bottom w:type="dxa" w:w="60"/>
              <w:right w:type="dxa" w:w="100"/>
            </w:tcMar>
            <w:vAlign w:val="center"/>
          </w:tcPr>
          <w:p>
            <w:pPr>
              <w:jc w:val="left"/>
            </w:pPr>
            <w:r>
              <w:rPr>
                <w:b w:val="false"/>
                <w:bCs w:val="false"/>
                <w:sz w:val="19"/>
                <w:szCs w:val="19"/>
              </w:rPr>
              <w:t xml:space="preserve">(b) Bonus cost as % of NGR, by campaign</w:t>
            </w:r>
          </w:p>
        </w:tc>
        <w:tc>
          <w:tcPr>
            <w:tcW w:type="dxa" w:w="5960"/>
            <w:shd w:fill="EEF3F8" w:val="clear"/>
            <w:tcMar>
              <w:top w:type="dxa" w:w="60"/>
              <w:left w:type="dxa" w:w="100"/>
              <w:bottom w:type="dxa" w:w="60"/>
              <w:right w:type="dxa" w:w="100"/>
            </w:tcMar>
            <w:vAlign w:val="center"/>
          </w:tcPr>
          <w:p>
            <w:pPr>
              <w:jc w:val="left"/>
            </w:pPr>
            <w:r>
              <w:rPr>
                <w:b w:val="false"/>
                <w:bCs w:val="false"/>
                <w:sz w:val="19"/>
                <w:szCs w:val="19"/>
              </w:rPr>
              <w:t xml:space="preserve">Registration Bonus: -27.78% (matches the dbt mart's independently-computed figure exactly)</w:t>
            </w:r>
          </w:p>
        </w:tc>
      </w:tr>
      <w:tr>
        <w:trPr>
          <w:cantSplit/>
        </w:trPr>
        <w:tc>
          <w:tcPr>
            <w:tcW w:type="dxa" w:w="3400"/>
            <w:tcMar>
              <w:top w:type="dxa" w:w="60"/>
              <w:left w:type="dxa" w:w="100"/>
              <w:bottom w:type="dxa" w:w="60"/>
              <w:right w:type="dxa" w:w="100"/>
            </w:tcMar>
            <w:vAlign w:val="center"/>
          </w:tcPr>
          <w:p>
            <w:pPr>
              <w:jc w:val="left"/>
            </w:pPr>
            <w:r>
              <w:rPr>
                <w:b w:val="false"/>
                <w:bCs w:val="false"/>
                <w:sz w:val="19"/>
                <w:szCs w:val="19"/>
              </w:rPr>
              <w:t xml:space="preserve">(c) A player's balance at a given date/time</w:t>
            </w:r>
          </w:p>
        </w:tc>
        <w:tc>
          <w:tcPr>
            <w:tcW w:type="dxa" w:w="5960"/>
            <w:tcMar>
              <w:top w:type="dxa" w:w="60"/>
              <w:left w:type="dxa" w:w="100"/>
              <w:bottom w:type="dxa" w:w="60"/>
              <w:right w:type="dxa" w:w="100"/>
            </w:tcMar>
            <w:vAlign w:val="center"/>
          </w:tcPr>
          <w:p>
            <w:pPr>
              <w:jc w:val="left"/>
            </w:pPr>
            <w:r>
              <w:rPr>
                <w:b w:val="false"/>
                <w:bCs w:val="false"/>
                <w:sz w:val="19"/>
                <w:szCs w:val="19"/>
              </w:rPr>
              <w:t xml:space="preserve">Reconstructed purely from the ledger (SUM), not a stored column — proves the design</w:t>
            </w:r>
          </w:p>
        </w:tc>
      </w:tr>
      <w:tr>
        <w:trPr>
          <w:cantSplit/>
        </w:trPr>
        <w:tc>
          <w:tcPr>
            <w:tcW w:type="dxa" w:w="3400"/>
            <w:shd w:fill="EEF3F8" w:val="clear"/>
            <w:tcMar>
              <w:top w:type="dxa" w:w="60"/>
              <w:left w:type="dxa" w:w="100"/>
              <w:bottom w:type="dxa" w:w="60"/>
              <w:right w:type="dxa" w:w="100"/>
            </w:tcMar>
            <w:vAlign w:val="center"/>
          </w:tcPr>
          <w:p>
            <w:pPr>
              <w:jc w:val="left"/>
            </w:pPr>
            <w:r>
              <w:rPr>
                <w:b w:val="false"/>
                <w:bCs w:val="false"/>
                <w:sz w:val="19"/>
                <w:szCs w:val="19"/>
              </w:rPr>
              <w:t xml:space="preserve">(d) Deposits that failed, then later succeeded</w:t>
            </w:r>
          </w:p>
        </w:tc>
        <w:tc>
          <w:tcPr>
            <w:tcW w:type="dxa" w:w="5960"/>
            <w:shd w:fill="EEF3F8" w:val="clear"/>
            <w:tcMar>
              <w:top w:type="dxa" w:w="60"/>
              <w:left w:type="dxa" w:w="100"/>
              <w:bottom w:type="dxa" w:w="60"/>
              <w:right w:type="dxa" w:w="100"/>
            </w:tcMar>
            <w:vAlign w:val="center"/>
          </w:tcPr>
          <w:p>
            <w:pPr>
              <w:jc w:val="left"/>
            </w:pPr>
            <w:r>
              <w:rPr>
                <w:b w:val="false"/>
                <w:bCs w:val="false"/>
                <w:sz w:val="19"/>
                <w:szCs w:val="19"/>
              </w:rPr>
              <w:t xml:space="preserve">Self-join on deposit_attempts finds the failed→success pair, 4 minutes apart</w:t>
            </w:r>
          </w:p>
        </w:tc>
      </w:tr>
    </w:tbl>
    <w:p>
      <w:pPr>
        <w:pStyle w:val="Heading2"/>
        <w:keepNext/>
        <w:keepLines/>
        <w:spacing w:after="150" w:before="300"/>
      </w:pPr>
      <w:r>
        <w:t xml:space="preserve">Operational design → reporting model</w:t>
      </w:r>
    </w:p>
    <w:p>
      <w:pPr>
        <w:spacing w:after="160"/>
      </w:pPr>
      <w:r>
        <w:t xml:space="preserve">A dbt project (dbt_jsb_assessment/) builds a star schema on top of this operational design: conformed dimensions (dim_player, dim_date, dim_campaign — dim_player_vip_tier_scd carries the same Type-2 history pattern through to the reporting layer) surrounding grain-specific facts (fact_bet, fact_wallet_transaction, fact_bonus_transaction). Two reusable marts answer queries (a) and (b) directly, and — extended during this review — the project now also covers Exercise 1's reconciliation as a scheduled, tested model.</w:t>
      </w:r>
    </w:p>
    <w:p>
      <w:pPr>
        <w:keepNext/>
        <w:spacing w:before="200"/>
        <w:jc w:val="center"/>
      </w:pPr>
      <w:r>
        <w:drawing>
          <wp:inline distT="0" distB="0" distL="0" distR="0">
            <wp:extent cx="4191000" cy="54006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5400675"/>
                    </a:xfrm>
                    <a:prstGeom prst="rect">
                      <a:avLst/>
                    </a:prstGeom>
                  </pic:spPr>
                </pic:pic>
              </a:graphicData>
            </a:graphic>
          </wp:inline>
        </w:drawing>
      </w:r>
    </w:p>
    <w:p>
      <w:pPr>
        <w:spacing w:after="300" w:before="80"/>
        <w:jc w:val="center"/>
      </w:pPr>
      <w:r>
        <w:rPr>
          <w:i/>
          <w:iCs/>
          <w:color w:val="595959"/>
          <w:sz w:val="20"/>
          <w:szCs w:val="20"/>
        </w:rPr>
        <w:t xml:space="preserve">dbt build across all three exercises: 78/78 pass (24 models, 54 tests), 0 errors. Every mart has a primary key; two models load incrementally.</w:t>
      </w:r>
    </w:p>
    <w:p>
      <w:pPr>
        <w:pStyle w:val="Heading1"/>
        <w:pageBreakBefore/>
        <w:spacing w:after="200" w:before="400"/>
      </w:pPr>
      <w:r>
        <w:t xml:space="preserve">Power BI — Reporting Data Model and Report</w:t>
      </w:r>
    </w:p>
    <w:p>
      <w:pPr>
        <w:spacing w:after="160"/>
      </w:pPr>
      <w:r>
        <w:rPr>
          <w:i/>
          <w:iCs/>
          <w:color w:val="595959"/>
          <w:sz w:val="20"/>
          <w:szCs w:val="20"/>
        </w:rPr>
        <w:t xml:space="preserve">Tools used: Power BI project format (.pbip), generated by a Python script from one set of definitions, with the dbt marts embedded as data.</w:t>
      </w:r>
    </w:p>
    <w:p>
      <w:pPr>
        <w:spacing w:after="160"/>
      </w:pPr>
      <w:r>
        <w:t xml:space="preserve">The dbt marts become a Power BI project, JSB_Assessment.pbip, covering all three exercises. The semantic model has 11 tables, 7 relationships and 28 DAX measures (22 calculations and 6 colour rules for the KPI tiles), and the report has four pages. The data is embedded in the project, so it opens and refreshes on any machine with no folder path or database connection to set up. The same script writes the model, the report pages, the readable DAX file and a list of expected values, then validates them, so the four cannot drift apart.</w:t>
      </w:r>
    </w:p>
    <w:p>
      <w:pPr>
        <w:keepNext/>
        <w:spacing w:before="200"/>
        <w:jc w:val="center"/>
      </w:pPr>
      <w:r>
        <w:drawing>
          <wp:inline distT="0" distB="0" distL="0" distR="0">
            <wp:extent cx="5715000" cy="31718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171825"/>
                    </a:xfrm>
                    <a:prstGeom prst="rect">
                      <a:avLst/>
                    </a:prstGeom>
                  </pic:spPr>
                </pic:pic>
              </a:graphicData>
            </a:graphic>
          </wp:inline>
        </w:drawing>
      </w:r>
    </w:p>
    <w:p>
      <w:pPr>
        <w:spacing w:after="300" w:before="80"/>
        <w:jc w:val="center"/>
      </w:pPr>
      <w:r>
        <w:rPr>
          <w:i/>
          <w:iCs/>
          <w:color w:val="595959"/>
          <w:sz w:val="20"/>
          <w:szCs w:val="20"/>
        </w:rPr>
        <w:t xml:space="preserve">Power BI model view for Exercise 3: three dimensions filter three facts. Facts are not joined to each other.</w:t>
      </w:r>
    </w:p>
    <w:p>
      <w:pPr>
        <w:pStyle w:val="Heading2"/>
        <w:keepNext/>
        <w:keepLines/>
        <w:spacing w:after="150" w:before="300"/>
      </w:pPr>
      <w:r>
        <w:t xml:space="preserve">Modelling decisions worth calling out</w:t>
      </w:r>
    </w:p>
    <w:p>
      <w:pPr>
        <w:pStyle w:val="ListParagraph"/>
        <w:numPr>
          <w:ilvl w:val="0"/>
          <w:numId w:val="2"/>
        </w:numPr>
        <w:spacing w:after="80"/>
      </w:pPr>
      <w:r>
        <w:t xml:space="preserve">Facts are not joined to facts. fact_wallet_transaction keeps related_bet_id and related_player_bonus_id as drill-through keys only. Relating them would give dim_player two filter paths to the wallet table. Power BI rejects that as an ambiguous model, and in any tool it is a source of silently wrong numbers. The build script checks every pair of tables and refuses to build if any pair has more than one path.</w:t>
      </w:r>
    </w:p>
    <w:p>
      <w:pPr>
        <w:pStyle w:val="ListParagraph"/>
        <w:numPr>
          <w:ilvl w:val="0"/>
          <w:numId w:val="2"/>
        </w:numPr>
        <w:spacing w:after="80"/>
      </w:pPr>
      <w:r>
        <w:t xml:space="preserve">Money is fixed decimal (Currency.Type, 4 dp, matching DECIMAL(18,4)), and the CSVs are parsed with en-US culture. A South African regional setting, which uses a comma as the decimal separator, therefore can't misread 200.0000.</w:t>
      </w:r>
    </w:p>
    <w:p>
      <w:pPr>
        <w:pStyle w:val="ListParagraph"/>
        <w:numPr>
          <w:ilvl w:val="0"/>
          <w:numId w:val="2"/>
        </w:numPr>
        <w:spacing w:after="80"/>
      </w:pPr>
      <w:r>
        <w:t xml:space="preserve">The Exercise 1 and 2 tables (fct_recon_exceptions, mart_recon_bridge, ingest_runs, transactions) stand alone. They share no keys with the player model, so they have no relationships to it, and a filter on one page can't leak into another.</w:t>
      </w:r>
    </w:p>
    <w:p>
      <w:pPr>
        <w:pStyle w:val="Heading2"/>
        <w:keepNext/>
        <w:keepLines/>
        <w:spacing w:after="150" w:before="300"/>
      </w:pPr>
      <w:r>
        <w:t xml:space="preserve">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3864" w:val="clear"/>
            <w:tcMar>
              <w:top w:type="dxa" w:w="60"/>
              <w:left w:type="dxa" w:w="100"/>
              <w:bottom w:type="dxa" w:w="60"/>
              <w:right w:type="dxa" w:w="100"/>
            </w:tcMar>
            <w:vAlign w:val="center"/>
          </w:tcPr>
          <w:p>
            <w:pPr>
              <w:jc w:val="left"/>
            </w:pPr>
            <w:r>
              <w:rPr>
                <w:b/>
                <w:bCs/>
                <w:color w:val="FFFFFF"/>
                <w:sz w:val="19"/>
                <w:szCs w:val="19"/>
              </w:rPr>
              <w:t xml:space="preserve">Measure</w:t>
            </w:r>
          </w:p>
        </w:tc>
        <w:tc>
          <w:tcPr>
            <w:tcW w:type="dxa" w:w="5960"/>
            <w:shd w:fill="1F3864" w:val="clear"/>
            <w:tcMar>
              <w:top w:type="dxa" w:w="60"/>
              <w:left w:type="dxa" w:w="100"/>
              <w:bottom w:type="dxa" w:w="60"/>
              <w:right w:type="dxa" w:w="100"/>
            </w:tcMar>
            <w:vAlign w:val="center"/>
          </w:tcPr>
          <w:p>
            <w:pPr>
              <w:jc w:val="left"/>
            </w:pPr>
            <w:r>
              <w:rPr>
                <w:b/>
                <w:bCs/>
                <w:color w:val="FFFFFF"/>
                <w:sz w:val="19"/>
                <w:szCs w:val="19"/>
              </w:rPr>
              <w:t xml:space="preserve">Definition</w:t>
            </w:r>
          </w:p>
        </w:tc>
      </w:tr>
      <w:tr>
        <w:trPr>
          <w:cantSplit/>
        </w:trPr>
        <w:tc>
          <w:tcPr>
            <w:tcW w:type="dxa" w:w="3400"/>
            <w:tcMar>
              <w:top w:type="dxa" w:w="60"/>
              <w:left w:type="dxa" w:w="100"/>
              <w:bottom w:type="dxa" w:w="60"/>
              <w:right w:type="dxa" w:w="100"/>
            </w:tcMar>
            <w:vAlign w:val="center"/>
          </w:tcPr>
          <w:p>
            <w:pPr>
              <w:jc w:val="left"/>
            </w:pPr>
            <w:r>
              <w:rPr>
                <w:b w:val="false"/>
                <w:bCs w:val="false"/>
                <w:sz w:val="19"/>
                <w:szCs w:val="19"/>
              </w:rPr>
              <w:t xml:space="preserve">GGR</w:t>
            </w:r>
          </w:p>
        </w:tc>
        <w:tc>
          <w:tcPr>
            <w:tcW w:type="dxa" w:w="5960"/>
            <w:tcMar>
              <w:top w:type="dxa" w:w="60"/>
              <w:left w:type="dxa" w:w="100"/>
              <w:bottom w:type="dxa" w:w="60"/>
              <w:right w:type="dxa" w:w="100"/>
            </w:tcMar>
            <w:vAlign w:val="center"/>
          </w:tcPr>
          <w:p>
            <w:pPr>
              <w:jc w:val="left"/>
            </w:pPr>
            <w:r>
              <w:rPr>
                <w:b w:val="false"/>
                <w:bCs w:val="false"/>
                <w:sz w:val="19"/>
                <w:szCs w:val="19"/>
              </w:rPr>
              <w:t xml:space="preserve">Stakes − payouts on settled (won/lost) bets</w:t>
            </w:r>
          </w:p>
        </w:tc>
      </w:tr>
      <w:tr>
        <w:trPr>
          <w:cantSplit/>
        </w:trPr>
        <w:tc>
          <w:tcPr>
            <w:tcW w:type="dxa" w:w="3400"/>
            <w:shd w:fill="EEF3F8" w:val="clear"/>
            <w:tcMar>
              <w:top w:type="dxa" w:w="60"/>
              <w:left w:type="dxa" w:w="100"/>
              <w:bottom w:type="dxa" w:w="60"/>
              <w:right w:type="dxa" w:w="100"/>
            </w:tcMar>
            <w:vAlign w:val="center"/>
          </w:tcPr>
          <w:p>
            <w:pPr>
              <w:jc w:val="left"/>
            </w:pPr>
            <w:r>
              <w:rPr>
                <w:b w:val="false"/>
                <w:bCs w:val="false"/>
                <w:sz w:val="19"/>
                <w:szCs w:val="19"/>
              </w:rPr>
              <w:t xml:space="preserve">Bonus Cost (realised)</w:t>
            </w:r>
          </w:p>
        </w:tc>
        <w:tc>
          <w:tcPr>
            <w:tcW w:type="dxa" w:w="5960"/>
            <w:shd w:fill="EEF3F8" w:val="clear"/>
            <w:tcMar>
              <w:top w:type="dxa" w:w="60"/>
              <w:left w:type="dxa" w:w="100"/>
              <w:bottom w:type="dxa" w:w="60"/>
              <w:right w:type="dxa" w:w="100"/>
            </w:tcMar>
            <w:vAlign w:val="center"/>
          </w:tcPr>
          <w:p>
            <w:pPr>
              <w:jc w:val="left"/>
            </w:pPr>
            <w:r>
              <w:rPr>
                <w:b w:val="false"/>
                <w:bCs w:val="false"/>
                <w:sz w:val="19"/>
                <w:szCs w:val="19"/>
              </w:rPr>
              <w:t xml:space="preserve">Bonus money staked on bets that lost</w:t>
            </w:r>
          </w:p>
        </w:tc>
      </w:tr>
      <w:tr>
        <w:trPr>
          <w:cantSplit/>
        </w:trPr>
        <w:tc>
          <w:tcPr>
            <w:tcW w:type="dxa" w:w="3400"/>
            <w:tcMar>
              <w:top w:type="dxa" w:w="60"/>
              <w:left w:type="dxa" w:w="100"/>
              <w:bottom w:type="dxa" w:w="60"/>
              <w:right w:type="dxa" w:w="100"/>
            </w:tcMar>
            <w:vAlign w:val="center"/>
          </w:tcPr>
          <w:p>
            <w:pPr>
              <w:jc w:val="left"/>
            </w:pPr>
            <w:r>
              <w:rPr>
                <w:b w:val="false"/>
                <w:bCs w:val="false"/>
                <w:sz w:val="19"/>
                <w:szCs w:val="19"/>
              </w:rPr>
              <w:t xml:space="preserve">NGR</w:t>
            </w:r>
          </w:p>
        </w:tc>
        <w:tc>
          <w:tcPr>
            <w:tcW w:type="dxa" w:w="5960"/>
            <w:tcMar>
              <w:top w:type="dxa" w:w="60"/>
              <w:left w:type="dxa" w:w="100"/>
              <w:bottom w:type="dxa" w:w="60"/>
              <w:right w:type="dxa" w:w="100"/>
            </w:tcMar>
            <w:vAlign w:val="center"/>
          </w:tcPr>
          <w:p>
            <w:pPr>
              <w:jc w:val="left"/>
            </w:pPr>
            <w:r>
              <w:rPr>
                <w:b w:val="false"/>
                <w:bCs w:val="false"/>
                <w:sz w:val="19"/>
                <w:szCs w:val="19"/>
              </w:rPr>
              <w:t xml:space="preserve">GGR − Bonus Cost (realised) — query (a)</w:t>
            </w:r>
          </w:p>
        </w:tc>
      </w:tr>
      <w:tr>
        <w:trPr>
          <w:cantSplit/>
        </w:trPr>
        <w:tc>
          <w:tcPr>
            <w:tcW w:type="dxa" w:w="3400"/>
            <w:shd w:fill="EEF3F8" w:val="clear"/>
            <w:tcMar>
              <w:top w:type="dxa" w:w="60"/>
              <w:left w:type="dxa" w:w="100"/>
              <w:bottom w:type="dxa" w:w="60"/>
              <w:right w:type="dxa" w:w="100"/>
            </w:tcMar>
            <w:vAlign w:val="center"/>
          </w:tcPr>
          <w:p>
            <w:pPr>
              <w:jc w:val="left"/>
            </w:pPr>
            <w:r>
              <w:rPr>
                <w:b w:val="false"/>
                <w:bCs w:val="false"/>
                <w:sz w:val="19"/>
                <w:szCs w:val="19"/>
              </w:rPr>
              <w:t xml:space="preserve">Campaign Bonus Cost / % of NGR</w:t>
            </w:r>
          </w:p>
        </w:tc>
        <w:tc>
          <w:tcPr>
            <w:tcW w:type="dxa" w:w="5960"/>
            <w:shd w:fill="EEF3F8" w:val="clear"/>
            <w:tcMar>
              <w:top w:type="dxa" w:w="60"/>
              <w:left w:type="dxa" w:w="100"/>
              <w:bottom w:type="dxa" w:w="60"/>
              <w:right w:type="dxa" w:w="100"/>
            </w:tcMar>
            <w:vAlign w:val="center"/>
          </w:tcPr>
          <w:p>
            <w:pPr>
              <w:jc w:val="left"/>
            </w:pPr>
            <w:r>
              <w:rPr>
                <w:b w:val="false"/>
                <w:bCs w:val="false"/>
                <w:sz w:val="19"/>
                <w:szCs w:val="19"/>
              </w:rPr>
              <w:t xml:space="preserve">Granted amount of resolved bonuses, ÷ total NGR — query (b)</w:t>
            </w:r>
          </w:p>
        </w:tc>
      </w:tr>
      <w:tr>
        <w:trPr>
          <w:cantSplit/>
        </w:trPr>
        <w:tc>
          <w:tcPr>
            <w:tcW w:type="dxa" w:w="3400"/>
            <w:tcMar>
              <w:top w:type="dxa" w:w="60"/>
              <w:left w:type="dxa" w:w="100"/>
              <w:bottom w:type="dxa" w:w="60"/>
              <w:right w:type="dxa" w:w="100"/>
            </w:tcMar>
            <w:vAlign w:val="center"/>
          </w:tcPr>
          <w:p>
            <w:pPr>
              <w:jc w:val="left"/>
            </w:pPr>
            <w:r>
              <w:rPr>
                <w:b w:val="false"/>
                <w:bCs w:val="false"/>
                <w:sz w:val="19"/>
                <w:szCs w:val="19"/>
              </w:rPr>
              <w:t xml:space="preserve">Bonus Liability Outstanding</w:t>
            </w:r>
          </w:p>
        </w:tc>
        <w:tc>
          <w:tcPr>
            <w:tcW w:type="dxa" w:w="5960"/>
            <w:tcMar>
              <w:top w:type="dxa" w:w="60"/>
              <w:left w:type="dxa" w:w="100"/>
              <w:bottom w:type="dxa" w:w="60"/>
              <w:right w:type="dxa" w:w="100"/>
            </w:tcMar>
            <w:vAlign w:val="center"/>
          </w:tcPr>
          <w:p>
            <w:pPr>
              <w:jc w:val="left"/>
            </w:pPr>
            <w:r>
              <w:rPr>
                <w:b w:val="false"/>
                <w:bCs w:val="false"/>
                <w:sz w:val="19"/>
                <w:szCs w:val="19"/>
              </w:rPr>
              <w:t xml:space="preserve">Granted amount of bonuses still active: owed, not yet a cost</w:t>
            </w:r>
          </w:p>
        </w:tc>
      </w:tr>
      <w:tr>
        <w:trPr>
          <w:cantSplit/>
        </w:trPr>
        <w:tc>
          <w:tcPr>
            <w:tcW w:type="dxa" w:w="3400"/>
            <w:shd w:fill="EEF3F8" w:val="clear"/>
            <w:tcMar>
              <w:top w:type="dxa" w:w="60"/>
              <w:left w:type="dxa" w:w="100"/>
              <w:bottom w:type="dxa" w:w="60"/>
              <w:right w:type="dxa" w:w="100"/>
            </w:tcMar>
            <w:vAlign w:val="center"/>
          </w:tcPr>
          <w:p>
            <w:pPr>
              <w:jc w:val="left"/>
            </w:pPr>
            <w:r>
              <w:rPr>
                <w:b w:val="false"/>
                <w:bCs w:val="false"/>
                <w:sz w:val="19"/>
                <w:szCs w:val="19"/>
              </w:rPr>
              <w:t xml:space="preserve">Balance as of selected date</w:t>
            </w:r>
          </w:p>
        </w:tc>
        <w:tc>
          <w:tcPr>
            <w:tcW w:type="dxa" w:w="5960"/>
            <w:shd w:fill="EEF3F8" w:val="clear"/>
            <w:tcMar>
              <w:top w:type="dxa" w:w="60"/>
              <w:left w:type="dxa" w:w="100"/>
              <w:bottom w:type="dxa" w:w="60"/>
              <w:right w:type="dxa" w:w="100"/>
            </w:tcMar>
            <w:vAlign w:val="center"/>
          </w:tcPr>
          <w:p>
            <w:pPr>
              <w:jc w:val="left"/>
            </w:pPr>
            <w:r>
              <w:rPr>
                <w:b w:val="false"/>
                <w:bCs w:val="false"/>
                <w:sz w:val="19"/>
                <w:szCs w:val="19"/>
              </w:rPr>
              <w:t xml:space="preserve">Sum of the ledger up to the last date in the date filter — query (c)</w:t>
            </w:r>
          </w:p>
        </w:tc>
      </w:tr>
      <w:tr>
        <w:trPr>
          <w:cantSplit/>
        </w:trPr>
        <w:tc>
          <w:tcPr>
            <w:tcW w:type="dxa" w:w="3400"/>
            <w:tcMar>
              <w:top w:type="dxa" w:w="60"/>
              <w:left w:type="dxa" w:w="100"/>
              <w:bottom w:type="dxa" w:w="60"/>
              <w:right w:type="dxa" w:w="100"/>
            </w:tcMar>
            <w:vAlign w:val="center"/>
          </w:tcPr>
          <w:p>
            <w:pPr>
              <w:jc w:val="left"/>
            </w:pPr>
            <w:r>
              <w:rPr>
                <w:b w:val="false"/>
                <w:bCs w:val="false"/>
                <w:sz w:val="19"/>
                <w:szCs w:val="19"/>
              </w:rPr>
              <w:t xml:space="preserve">Settlements Matched Exactly / Exceptions</w:t>
            </w:r>
          </w:p>
        </w:tc>
        <w:tc>
          <w:tcPr>
            <w:tcW w:type="dxa" w:w="5960"/>
            <w:tcMar>
              <w:top w:type="dxa" w:w="60"/>
              <w:left w:type="dxa" w:w="100"/>
              <w:bottom w:type="dxa" w:w="60"/>
              <w:right w:type="dxa" w:w="100"/>
            </w:tcMar>
            <w:vAlign w:val="center"/>
          </w:tcPr>
          <w:p>
            <w:pPr>
              <w:jc w:val="left"/>
            </w:pPr>
            <w:r>
              <w:rPr>
                <w:b w:val="false"/>
                <w:bCs w:val="false"/>
                <w:sz w:val="19"/>
                <w:szCs w:val="19"/>
              </w:rPr>
              <w:t xml:space="preserve">Counts of OK rows and of every other category in fct_recon_exceptions</w:t>
            </w:r>
          </w:p>
        </w:tc>
      </w:tr>
      <w:tr>
        <w:trPr>
          <w:cantSplit/>
        </w:trPr>
        <w:tc>
          <w:tcPr>
            <w:tcW w:type="dxa" w:w="3400"/>
            <w:shd w:fill="EEF3F8" w:val="clear"/>
            <w:tcMar>
              <w:top w:type="dxa" w:w="60"/>
              <w:left w:type="dxa" w:w="100"/>
              <w:bottom w:type="dxa" w:w="60"/>
              <w:right w:type="dxa" w:w="100"/>
            </w:tcMar>
            <w:vAlign w:val="center"/>
          </w:tcPr>
          <w:p>
            <w:pPr>
              <w:jc w:val="left"/>
            </w:pPr>
            <w:r>
              <w:rPr>
                <w:b w:val="false"/>
                <w:bCs w:val="false"/>
                <w:sz w:val="19"/>
                <w:szCs w:val="19"/>
              </w:rPr>
              <w:t xml:space="preserve">Act Now Value</w:t>
            </w:r>
          </w:p>
        </w:tc>
        <w:tc>
          <w:tcPr>
            <w:tcW w:type="dxa" w:w="5960"/>
            <w:shd w:fill="EEF3F8" w:val="clear"/>
            <w:tcMar>
              <w:top w:type="dxa" w:w="60"/>
              <w:left w:type="dxa" w:w="100"/>
              <w:bottom w:type="dxa" w:w="60"/>
              <w:right w:type="dxa" w:w="100"/>
            </w:tcMar>
            <w:vAlign w:val="center"/>
          </w:tcPr>
          <w:p>
            <w:pPr>
              <w:jc w:val="left"/>
            </w:pPr>
            <w:r>
              <w:rPr>
                <w:b w:val="false"/>
                <w:bCs w:val="false"/>
                <w:sz w:val="19"/>
                <w:szCs w:val="19"/>
              </w:rPr>
              <w:t xml:space="preserve">Impact of the two act-now categories: settled but marked FAILED, and unrecognised settlements</w:t>
            </w:r>
          </w:p>
        </w:tc>
      </w:tr>
      <w:tr>
        <w:trPr>
          <w:cantSplit/>
        </w:trPr>
        <w:tc>
          <w:tcPr>
            <w:tcW w:type="dxa" w:w="3400"/>
            <w:tcMar>
              <w:top w:type="dxa" w:w="60"/>
              <w:left w:type="dxa" w:w="100"/>
              <w:bottom w:type="dxa" w:w="60"/>
              <w:right w:type="dxa" w:w="100"/>
            </w:tcMar>
            <w:vAlign w:val="center"/>
          </w:tcPr>
          <w:p>
            <w:pPr>
              <w:jc w:val="left"/>
            </w:pPr>
            <w:r>
              <w:rPr>
                <w:b w:val="false"/>
                <w:bCs w:val="false"/>
                <w:sz w:val="19"/>
                <w:szCs w:val="19"/>
              </w:rPr>
              <w:t xml:space="preserve">Bridge Amount / Bridge Residual</w:t>
            </w:r>
          </w:p>
        </w:tc>
        <w:tc>
          <w:tcPr>
            <w:tcW w:type="dxa" w:w="5960"/>
            <w:tcMar>
              <w:top w:type="dxa" w:w="60"/>
              <w:left w:type="dxa" w:w="100"/>
              <w:bottom w:type="dxa" w:w="60"/>
              <w:right w:type="dxa" w:w="100"/>
            </w:tcMar>
            <w:vAlign w:val="center"/>
          </w:tcPr>
          <w:p>
            <w:pPr>
              <w:jc w:val="left"/>
            </w:pPr>
            <w:r>
              <w:rPr>
                <w:b w:val="false"/>
                <w:bCs w:val="false"/>
                <w:sz w:val="19"/>
                <w:szCs w:val="19"/>
              </w:rPr>
              <w:t xml:space="preserve">Sum of the bridge steps; residual = gateway total − steps, which must be 0.00</w:t>
            </w:r>
          </w:p>
        </w:tc>
      </w:tr>
      <w:tr>
        <w:trPr>
          <w:cantSplit/>
        </w:trPr>
        <w:tc>
          <w:tcPr>
            <w:tcW w:type="dxa" w:w="3400"/>
            <w:shd w:fill="EEF3F8" w:val="clear"/>
            <w:tcMar>
              <w:top w:type="dxa" w:w="60"/>
              <w:left w:type="dxa" w:w="100"/>
              <w:bottom w:type="dxa" w:w="60"/>
              <w:right w:type="dxa" w:w="100"/>
            </w:tcMar>
            <w:vAlign w:val="center"/>
          </w:tcPr>
          <w:p>
            <w:pPr>
              <w:jc w:val="left"/>
            </w:pPr>
            <w:r>
              <w:rPr>
                <w:b w:val="false"/>
                <w:bCs w:val="false"/>
                <w:sz w:val="19"/>
                <w:szCs w:val="19"/>
              </w:rPr>
              <w:t xml:space="preserve">Transactions Loaded / Runs / Rows Rejected / Retries</w:t>
            </w:r>
          </w:p>
        </w:tc>
        <w:tc>
          <w:tcPr>
            <w:tcW w:type="dxa" w:w="5960"/>
            <w:shd w:fill="EEF3F8" w:val="clear"/>
            <w:tcMar>
              <w:top w:type="dxa" w:w="60"/>
              <w:left w:type="dxa" w:w="100"/>
              <w:bottom w:type="dxa" w:w="60"/>
              <w:right w:type="dxa" w:w="100"/>
            </w:tcMar>
            <w:vAlign w:val="center"/>
          </w:tcPr>
          <w:p>
            <w:pPr>
              <w:jc w:val="left"/>
            </w:pPr>
            <w:r>
              <w:rPr>
                <w:b w:val="false"/>
                <w:bCs w:val="false"/>
                <w:sz w:val="19"/>
                <w:szCs w:val="19"/>
              </w:rPr>
              <w:t xml:space="preserve">Exercise 2's loaded rows and run log</w:t>
            </w:r>
          </w:p>
        </w:tc>
      </w:tr>
    </w:tbl>
    <w:p>
      <w:pPr>
        <w:pStyle w:val="Heading2"/>
        <w:keepNext/>
        <w:keepLines/>
        <w:spacing w:after="150" w:before="300"/>
      </w:pPr>
      <w:r>
        <w:t xml:space="preserve">Report pages and expected values</w:t>
      </w:r>
    </w:p>
    <w:p>
      <w:pPr>
        <w:pStyle w:val="ListParagraph"/>
        <w:numPr>
          <w:ilvl w:val="0"/>
          <w:numId w:val="2"/>
        </w:numPr>
        <w:spacing w:after="80"/>
      </w:pPr>
      <w:r>
        <w:t xml:space="preserve">NGR overview (Ex. 3): GGR, realised bonus cost, NGR and bonus liability cards; GGR vs NGR by product; bonus cost as a percentage of NGR by campaign.</w:t>
      </w:r>
    </w:p>
    <w:p>
      <w:pPr>
        <w:pStyle w:val="ListParagraph"/>
        <w:numPr>
          <w:ilvl w:val="0"/>
          <w:numId w:val="2"/>
        </w:numPr>
        <w:spacing w:after="80"/>
      </w:pPr>
      <w:r>
        <w:t xml:space="preserve">Player balances (Ex. 3): a date slicer, deposits, and each player's balance rebuilt from the ledger as of the slicer's end date.</w:t>
      </w:r>
    </w:p>
    <w:p>
      <w:pPr>
        <w:pStyle w:val="ListParagraph"/>
        <w:numPr>
          <w:ilvl w:val="0"/>
          <w:numId w:val="2"/>
        </w:numPr>
        <w:spacing w:after="80"/>
      </w:pPr>
      <w:r>
        <w:t xml:space="preserve">Reconciliation (Ex. 1): headline cards, the bridge as a waterfall from the internal total to the gateway total, exceptions by category, and a detail table.</w:t>
      </w:r>
    </w:p>
    <w:p>
      <w:pPr>
        <w:pStyle w:val="ListParagraph"/>
        <w:numPr>
          <w:ilvl w:val="0"/>
          <w:numId w:val="2"/>
        </w:numPr>
        <w:spacing w:after="80"/>
      </w:pPr>
      <w:r>
        <w:t xml:space="preserve">Ingestion monitoring (Ex. 2): loaded rows, runs, rejected rows and rate-limit retries; the run history, including the run killed mid-page; transactions by status.</w:t>
      </w:r>
    </w:p>
    <w:p>
      <w:pPr>
        <w:spacing w:after="160"/>
      </w:pPr>
      <w:r>
        <w:t xml:space="preserve">Each value below was computed from the CSVs with pandas, independently of the DAX, and matches the MySQL, MariaDB and dbt results. The full list is in powerbi/expected_values.md.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F3864" w:val="clear"/>
            <w:tcMar>
              <w:top w:type="dxa" w:w="60"/>
              <w:left w:type="dxa" w:w="100"/>
              <w:bottom w:type="dxa" w:w="60"/>
              <w:right w:type="dxa" w:w="100"/>
            </w:tcMar>
            <w:vAlign w:val="center"/>
          </w:tcPr>
          <w:p>
            <w:pPr>
              <w:jc w:val="left"/>
            </w:pPr>
            <w:r>
              <w:rPr>
                <w:b/>
                <w:bCs/>
                <w:color w:val="FFFFFF"/>
                <w:sz w:val="19"/>
                <w:szCs w:val="19"/>
              </w:rPr>
              <w:t xml:space="preserve">Visual</w:t>
            </w:r>
          </w:p>
        </w:tc>
        <w:tc>
          <w:tcPr>
            <w:tcW w:type="dxa" w:w="5160"/>
            <w:shd w:fill="1F3864" w:val="clear"/>
            <w:tcMar>
              <w:top w:type="dxa" w:w="60"/>
              <w:left w:type="dxa" w:w="100"/>
              <w:bottom w:type="dxa" w:w="60"/>
              <w:right w:type="dxa" w:w="100"/>
            </w:tcMar>
            <w:vAlign w:val="center"/>
          </w:tcPr>
          <w:p>
            <w:pPr>
              <w:jc w:val="left"/>
            </w:pPr>
            <w:r>
              <w:rPr>
                <w:b/>
                <w:bCs/>
                <w:color w:val="FFFFFF"/>
                <w:sz w:val="19"/>
                <w:szCs w:val="19"/>
              </w:rPr>
              <w:t xml:space="preserve">Expected value</w:t>
            </w:r>
          </w:p>
        </w:tc>
      </w:tr>
      <w:tr>
        <w:trPr>
          <w:cantSplit/>
        </w:trPr>
        <w:tc>
          <w:tcPr>
            <w:tcW w:type="dxa" w:w="4200"/>
            <w:tcMar>
              <w:top w:type="dxa" w:w="60"/>
              <w:left w:type="dxa" w:w="100"/>
              <w:bottom w:type="dxa" w:w="60"/>
              <w:right w:type="dxa" w:w="100"/>
            </w:tcMar>
            <w:vAlign w:val="center"/>
          </w:tcPr>
          <w:p>
            <w:pPr>
              <w:jc w:val="left"/>
            </w:pPr>
            <w:r>
              <w:rPr>
                <w:b w:val="false"/>
                <w:bCs w:val="false"/>
                <w:sz w:val="19"/>
                <w:szCs w:val="19"/>
              </w:rPr>
              <w:t xml:space="preserve">GGR / Bonus Cost (realised) / NGR</w:t>
            </w:r>
          </w:p>
        </w:tc>
        <w:tc>
          <w:tcPr>
            <w:tcW w:type="dxa" w:w="5160"/>
            <w:tcMar>
              <w:top w:type="dxa" w:w="60"/>
              <w:left w:type="dxa" w:w="100"/>
              <w:bottom w:type="dxa" w:w="60"/>
              <w:right w:type="dxa" w:w="100"/>
            </w:tcMar>
            <w:vAlign w:val="center"/>
          </w:tcPr>
          <w:p>
            <w:pPr>
              <w:jc w:val="left"/>
            </w:pPr>
            <w:r>
              <w:rPr>
                <w:b w:val="false"/>
                <w:bCs w:val="false"/>
                <w:sz w:val="19"/>
                <w:szCs w:val="19"/>
              </w:rPr>
              <w:t xml:space="preserve">-70.00 / 20.00 / -90.00</w:t>
            </w:r>
          </w:p>
        </w:tc>
      </w:tr>
      <w:tr>
        <w:trPr>
          <w:cantSplit/>
        </w:trPr>
        <w:tc>
          <w:tcPr>
            <w:tcW w:type="dxa" w:w="4200"/>
            <w:shd w:fill="EEF3F8" w:val="clear"/>
            <w:tcMar>
              <w:top w:type="dxa" w:w="60"/>
              <w:left w:type="dxa" w:w="100"/>
              <w:bottom w:type="dxa" w:w="60"/>
              <w:right w:type="dxa" w:w="100"/>
            </w:tcMar>
            <w:vAlign w:val="center"/>
          </w:tcPr>
          <w:p>
            <w:pPr>
              <w:jc w:val="left"/>
            </w:pPr>
            <w:r>
              <w:rPr>
                <w:b w:val="false"/>
                <w:bCs w:val="false"/>
                <w:sz w:val="19"/>
                <w:szCs w:val="19"/>
              </w:rPr>
              <w:t xml:space="preserve">NGR by product</w:t>
            </w:r>
          </w:p>
        </w:tc>
        <w:tc>
          <w:tcPr>
            <w:tcW w:type="dxa" w:w="5160"/>
            <w:shd w:fill="EEF3F8" w:val="clear"/>
            <w:tcMar>
              <w:top w:type="dxa" w:w="60"/>
              <w:left w:type="dxa" w:w="100"/>
              <w:bottom w:type="dxa" w:w="60"/>
              <w:right w:type="dxa" w:w="100"/>
            </w:tcMar>
            <w:vAlign w:val="center"/>
          </w:tcPr>
          <w:p>
            <w:pPr>
              <w:jc w:val="left"/>
            </w:pPr>
            <w:r>
              <w:rPr>
                <w:b w:val="false"/>
                <w:bCs w:val="false"/>
                <w:sz w:val="19"/>
                <w:szCs w:val="19"/>
              </w:rPr>
              <w:t xml:space="preserve">sportsbook -160.00 · casino -30.00 · retail 100.00</w:t>
            </w:r>
          </w:p>
        </w:tc>
      </w:tr>
      <w:tr>
        <w:trPr>
          <w:cantSplit/>
        </w:trPr>
        <w:tc>
          <w:tcPr>
            <w:tcW w:type="dxa" w:w="4200"/>
            <w:tcMar>
              <w:top w:type="dxa" w:w="60"/>
              <w:left w:type="dxa" w:w="100"/>
              <w:bottom w:type="dxa" w:w="60"/>
              <w:right w:type="dxa" w:w="100"/>
            </w:tcMar>
            <w:vAlign w:val="center"/>
          </w:tcPr>
          <w:p>
            <w:pPr>
              <w:jc w:val="left"/>
            </w:pPr>
            <w:r>
              <w:rPr>
                <w:b w:val="false"/>
                <w:bCs w:val="false"/>
                <w:sz w:val="19"/>
                <w:szCs w:val="19"/>
              </w:rPr>
              <w:t xml:space="preserve">Registration Bonus: cost / % of NGR</w:t>
            </w:r>
          </w:p>
        </w:tc>
        <w:tc>
          <w:tcPr>
            <w:tcW w:type="dxa" w:w="5160"/>
            <w:tcMar>
              <w:top w:type="dxa" w:w="60"/>
              <w:left w:type="dxa" w:w="100"/>
              <w:bottom w:type="dxa" w:w="60"/>
              <w:right w:type="dxa" w:w="100"/>
            </w:tcMar>
            <w:vAlign w:val="center"/>
          </w:tcPr>
          <w:p>
            <w:pPr>
              <w:jc w:val="left"/>
            </w:pPr>
            <w:r>
              <w:rPr>
                <w:b w:val="false"/>
                <w:bCs w:val="false"/>
                <w:sz w:val="19"/>
                <w:szCs w:val="19"/>
              </w:rPr>
              <w:t xml:space="preserve">25.00 / -27.78%</w:t>
            </w:r>
          </w:p>
        </w:tc>
      </w:tr>
      <w:tr>
        <w:trPr>
          <w:cantSplit/>
        </w:trPr>
        <w:tc>
          <w:tcPr>
            <w:tcW w:type="dxa" w:w="4200"/>
            <w:shd w:fill="EEF3F8" w:val="clear"/>
            <w:tcMar>
              <w:top w:type="dxa" w:w="60"/>
              <w:left w:type="dxa" w:w="100"/>
              <w:bottom w:type="dxa" w:w="60"/>
              <w:right w:type="dxa" w:w="100"/>
            </w:tcMar>
            <w:vAlign w:val="center"/>
          </w:tcPr>
          <w:p>
            <w:pPr>
              <w:jc w:val="left"/>
            </w:pPr>
            <w:r>
              <w:rPr>
                <w:b w:val="false"/>
                <w:bCs w:val="false"/>
                <w:sz w:val="19"/>
                <w:szCs w:val="19"/>
              </w:rPr>
              <w:t xml:space="preserve">Player 1 balance, slicer ending 2026-09-06</w:t>
            </w:r>
          </w:p>
        </w:tc>
        <w:tc>
          <w:tcPr>
            <w:tcW w:type="dxa" w:w="5160"/>
            <w:shd w:fill="EEF3F8" w:val="clear"/>
            <w:tcMar>
              <w:top w:type="dxa" w:w="60"/>
              <w:left w:type="dxa" w:w="100"/>
              <w:bottom w:type="dxa" w:w="60"/>
              <w:right w:type="dxa" w:w="100"/>
            </w:tcMar>
            <w:vAlign w:val="center"/>
          </w:tcPr>
          <w:p>
            <w:pPr>
              <w:jc w:val="left"/>
            </w:pPr>
            <w:r>
              <w:rPr>
                <w:b w:val="false"/>
                <w:bCs w:val="false"/>
                <w:sz w:val="19"/>
                <w:szCs w:val="19"/>
              </w:rPr>
              <w:t xml:space="preserve">1,160.00 (real)</w:t>
            </w:r>
          </w:p>
        </w:tc>
      </w:tr>
      <w:tr>
        <w:trPr>
          <w:cantSplit/>
        </w:trPr>
        <w:tc>
          <w:tcPr>
            <w:tcW w:type="dxa" w:w="4200"/>
            <w:tcMar>
              <w:top w:type="dxa" w:w="60"/>
              <w:left w:type="dxa" w:w="100"/>
              <w:bottom w:type="dxa" w:w="60"/>
              <w:right w:type="dxa" w:w="100"/>
            </w:tcMar>
            <w:vAlign w:val="center"/>
          </w:tcPr>
          <w:p>
            <w:pPr>
              <w:jc w:val="left"/>
            </w:pPr>
            <w:r>
              <w:rPr>
                <w:b w:val="false"/>
                <w:bCs w:val="false"/>
                <w:sz w:val="19"/>
                <w:szCs w:val="19"/>
              </w:rPr>
              <w:t xml:space="preserve">Balances, full date range</w:t>
            </w:r>
          </w:p>
        </w:tc>
        <w:tc>
          <w:tcPr>
            <w:tcW w:type="dxa" w:w="5160"/>
            <w:tcMar>
              <w:top w:type="dxa" w:w="60"/>
              <w:left w:type="dxa" w:w="100"/>
              <w:bottom w:type="dxa" w:w="60"/>
              <w:right w:type="dxa" w:w="100"/>
            </w:tcMar>
            <w:vAlign w:val="center"/>
          </w:tcPr>
          <w:p>
            <w:pPr>
              <w:jc w:val="left"/>
            </w:pPr>
            <w:r>
              <w:rPr>
                <w:b w:val="false"/>
                <w:bCs w:val="false"/>
                <w:sz w:val="19"/>
                <w:szCs w:val="19"/>
              </w:rPr>
              <w:t xml:space="preserve">Player 1: 1,190.00 · Player 2: 400.00 · Player 3: 100.00 real + 30.00 bonus</w:t>
            </w:r>
          </w:p>
        </w:tc>
      </w:tr>
      <w:tr>
        <w:trPr>
          <w:cantSplit/>
        </w:trPr>
        <w:tc>
          <w:tcPr>
            <w:tcW w:type="dxa" w:w="4200"/>
            <w:shd w:fill="EEF3F8" w:val="clear"/>
            <w:tcMar>
              <w:top w:type="dxa" w:w="60"/>
              <w:left w:type="dxa" w:w="100"/>
              <w:bottom w:type="dxa" w:w="60"/>
              <w:right w:type="dxa" w:w="100"/>
            </w:tcMar>
            <w:vAlign w:val="center"/>
          </w:tcPr>
          <w:p>
            <w:pPr>
              <w:jc w:val="left"/>
            </w:pPr>
            <w:r>
              <w:rPr>
                <w:b w:val="false"/>
                <w:bCs w:val="false"/>
                <w:sz w:val="19"/>
                <w:szCs w:val="19"/>
              </w:rPr>
              <w:t xml:space="preserve">Settlements matched exactly / exceptions</w:t>
            </w:r>
          </w:p>
        </w:tc>
        <w:tc>
          <w:tcPr>
            <w:tcW w:type="dxa" w:w="5160"/>
            <w:shd w:fill="EEF3F8" w:val="clear"/>
            <w:tcMar>
              <w:top w:type="dxa" w:w="60"/>
              <w:left w:type="dxa" w:w="100"/>
              <w:bottom w:type="dxa" w:w="60"/>
              <w:right w:type="dxa" w:w="100"/>
            </w:tcMar>
            <w:vAlign w:val="center"/>
          </w:tcPr>
          <w:p>
            <w:pPr>
              <w:jc w:val="left"/>
            </w:pPr>
            <w:r>
              <w:rPr>
                <w:b w:val="false"/>
                <w:bCs w:val="false"/>
                <w:sz w:val="19"/>
                <w:szCs w:val="19"/>
              </w:rPr>
              <w:t xml:space="preserve">274 / 43</w:t>
            </w:r>
          </w:p>
        </w:tc>
      </w:tr>
      <w:tr>
        <w:trPr>
          <w:cantSplit/>
        </w:trPr>
        <w:tc>
          <w:tcPr>
            <w:tcW w:type="dxa" w:w="4200"/>
            <w:tcMar>
              <w:top w:type="dxa" w:w="60"/>
              <w:left w:type="dxa" w:w="100"/>
              <w:bottom w:type="dxa" w:w="60"/>
              <w:right w:type="dxa" w:w="100"/>
            </w:tcMar>
            <w:vAlign w:val="center"/>
          </w:tcPr>
          <w:p>
            <w:pPr>
              <w:jc w:val="left"/>
            </w:pPr>
            <w:r>
              <w:rPr>
                <w:b w:val="false"/>
                <w:bCs w:val="false"/>
                <w:sz w:val="19"/>
                <w:szCs w:val="19"/>
              </w:rPr>
              <w:t xml:space="preserve">Act Now Value / Bridge Residual</w:t>
            </w:r>
          </w:p>
        </w:tc>
        <w:tc>
          <w:tcPr>
            <w:tcW w:type="dxa" w:w="5160"/>
            <w:tcMar>
              <w:top w:type="dxa" w:w="60"/>
              <w:left w:type="dxa" w:w="100"/>
              <w:bottom w:type="dxa" w:w="60"/>
              <w:right w:type="dxa" w:w="100"/>
            </w:tcMar>
            <w:vAlign w:val="center"/>
          </w:tcPr>
          <w:p>
            <w:pPr>
              <w:jc w:val="left"/>
            </w:pPr>
            <w:r>
              <w:rPr>
                <w:b w:val="false"/>
                <w:bCs w:val="false"/>
                <w:sz w:val="19"/>
                <w:szCs w:val="19"/>
              </w:rPr>
              <w:t xml:space="preserve">3,150.00 / 0.00</w:t>
            </w:r>
          </w:p>
        </w:tc>
      </w:tr>
      <w:tr>
        <w:trPr>
          <w:cantSplit/>
        </w:trPr>
        <w:tc>
          <w:tcPr>
            <w:tcW w:type="dxa" w:w="4200"/>
            <w:shd w:fill="EEF3F8" w:val="clear"/>
            <w:tcMar>
              <w:top w:type="dxa" w:w="60"/>
              <w:left w:type="dxa" w:w="100"/>
              <w:bottom w:type="dxa" w:w="60"/>
              <w:right w:type="dxa" w:w="100"/>
            </w:tcMar>
            <w:vAlign w:val="center"/>
          </w:tcPr>
          <w:p>
            <w:pPr>
              <w:jc w:val="left"/>
            </w:pPr>
            <w:r>
              <w:rPr>
                <w:b w:val="false"/>
                <w:bCs w:val="false"/>
                <w:sz w:val="19"/>
                <w:szCs w:val="19"/>
              </w:rPr>
              <w:t xml:space="preserve">Waterfall</w:t>
            </w:r>
          </w:p>
        </w:tc>
        <w:tc>
          <w:tcPr>
            <w:tcW w:type="dxa" w:w="5160"/>
            <w:shd w:fill="EEF3F8" w:val="clear"/>
            <w:tcMar>
              <w:top w:type="dxa" w:w="60"/>
              <w:left w:type="dxa" w:w="100"/>
              <w:bottom w:type="dxa" w:w="60"/>
              <w:right w:type="dxa" w:w="100"/>
            </w:tcMar>
            <w:vAlign w:val="center"/>
          </w:tcPr>
          <w:p>
            <w:pPr>
              <w:jc w:val="left"/>
            </w:pPr>
            <w:r>
              <w:rPr>
                <w:b w:val="false"/>
                <w:bCs w:val="false"/>
                <w:sz w:val="19"/>
                <w:szCs w:val="19"/>
              </w:rPr>
              <w:t xml:space="preserve">218,280.00 → 217,979.97 in 10 adjustment steps</w:t>
            </w:r>
          </w:p>
        </w:tc>
      </w:tr>
      <w:tr>
        <w:trPr>
          <w:cantSplit/>
        </w:trPr>
        <w:tc>
          <w:tcPr>
            <w:tcW w:type="dxa" w:w="4200"/>
            <w:tcMar>
              <w:top w:type="dxa" w:w="60"/>
              <w:left w:type="dxa" w:w="100"/>
              <w:bottom w:type="dxa" w:w="60"/>
              <w:right w:type="dxa" w:w="100"/>
            </w:tcMar>
            <w:vAlign w:val="center"/>
          </w:tcPr>
          <w:p>
            <w:pPr>
              <w:jc w:val="left"/>
            </w:pPr>
            <w:r>
              <w:rPr>
                <w:b w:val="false"/>
                <w:bCs w:val="false"/>
                <w:sz w:val="19"/>
                <w:szCs w:val="19"/>
              </w:rPr>
              <w:t xml:space="preserve">Transactions loaded / runs / rows rejected / API retries</w:t>
            </w:r>
          </w:p>
        </w:tc>
        <w:tc>
          <w:tcPr>
            <w:tcW w:type="dxa" w:w="5160"/>
            <w:tcMar>
              <w:top w:type="dxa" w:w="60"/>
              <w:left w:type="dxa" w:w="100"/>
              <w:bottom w:type="dxa" w:w="60"/>
              <w:right w:type="dxa" w:w="100"/>
            </w:tcMar>
            <w:vAlign w:val="center"/>
          </w:tcPr>
          <w:p>
            <w:pPr>
              <w:jc w:val="left"/>
            </w:pPr>
            <w:r>
              <w:rPr>
                <w:b w:val="false"/>
                <w:bCs w:val="false"/>
                <w:sz w:val="19"/>
                <w:szCs w:val="19"/>
              </w:rPr>
              <w:t xml:space="preserve">1,024 / 4 / 1 / 1</w:t>
            </w:r>
          </w:p>
        </w:tc>
      </w:tr>
      <w:tr>
        <w:trPr>
          <w:cantSplit/>
        </w:trPr>
        <w:tc>
          <w:tcPr>
            <w:tcW w:type="dxa" w:w="4200"/>
            <w:shd w:fill="EEF3F8" w:val="clear"/>
            <w:tcMar>
              <w:top w:type="dxa" w:w="60"/>
              <w:left w:type="dxa" w:w="100"/>
              <w:bottom w:type="dxa" w:w="60"/>
              <w:right w:type="dxa" w:w="100"/>
            </w:tcMar>
            <w:vAlign w:val="center"/>
          </w:tcPr>
          <w:p>
            <w:pPr>
              <w:jc w:val="left"/>
            </w:pPr>
            <w:r>
              <w:rPr>
                <w:b w:val="false"/>
                <w:bCs w:val="false"/>
                <w:sz w:val="19"/>
                <w:szCs w:val="19"/>
              </w:rPr>
              <w:t xml:space="preserve">Transactions by status</w:t>
            </w:r>
          </w:p>
        </w:tc>
        <w:tc>
          <w:tcPr>
            <w:tcW w:type="dxa" w:w="5160"/>
            <w:shd w:fill="EEF3F8" w:val="clear"/>
            <w:tcMar>
              <w:top w:type="dxa" w:w="60"/>
              <w:left w:type="dxa" w:w="100"/>
              <w:bottom w:type="dxa" w:w="60"/>
              <w:right w:type="dxa" w:w="100"/>
            </w:tcMar>
            <w:vAlign w:val="center"/>
          </w:tcPr>
          <w:p>
            <w:pPr>
              <w:jc w:val="left"/>
            </w:pPr>
            <w:r>
              <w:rPr>
                <w:b w:val="false"/>
                <w:bCs w:val="false"/>
                <w:sz w:val="19"/>
                <w:szCs w:val="19"/>
              </w:rPr>
              <w:t xml:space="preserve">completed 587 · failed 214 · pending 207 · reversed 16</w:t>
            </w:r>
          </w:p>
        </w:tc>
      </w:tr>
    </w:tbl>
    <w:p>
      <w:pPr>
        <w:pStyle w:val="Heading2"/>
        <w:keepNext/>
        <w:keepLines/>
        <w:spacing w:after="150" w:before="300"/>
      </w:pPr>
      <w:r>
        <w:t xml:space="preserve">How it was verified</w:t>
      </w:r>
    </w:p>
    <w:p>
      <w:pPr>
        <w:spacing w:after="160"/>
      </w:pPr>
      <w:r>
        <w:t xml:space="preserve">Power BI Desktop doesn't run in the Linux environment this was built in. Instead, the build script checks that every visual field, sort and DAX reference resolves to the model, that every CSV's columns match the model, that every relationship column exists, and that no filter path is ambiguous. A negative test confirmed it rejects an ambiguous relationship and a misspelled measure. The report layout follows the supplied Demo.pbix (Power BI Desktop 2.130, CY24SU06 theme).</w:t>
      </w:r>
    </w:p>
    <w:p>
      <w:pPr>
        <w:spacing w:after="160"/>
      </w:pPr>
      <w:r>
        <w:t xml:space="preserve">Power BI Desktop has since opened an earlier version of this project on a Windows machine: the pages and visuals loaded. The one failure was that the data folder path didn't exist on that machine, and embedding the data removes that step. If Desktop objects to the project for any other reason, powerbi/README.md gives a five-minute manual route to build the same model in Demo.pbix.</w:t>
      </w:r>
    </w:p>
    <w:p>
      <w:pPr>
        <w:spacing w:after="160"/>
      </w:pPr>
      <w:r>
        <w:t xml:space="preserve">Building this layer also caught a real defect upstream. The seed data's wallet balance cache didn't match its own ledger, breaking the rule that the ledger is the truth. The seed was fixed, and a dbt test (assert_wallet_cache_matches_ledger) now fails the build if the two ever diverge. The test failed on the old data and passes on the corrected data.</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95959"/>
        <w:sz w:val="16"/>
        <w:szCs w:val="16"/>
      </w:rPr>
      <w:t xml:space="preserve">JSB Data Engineer — Practical Exercises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80" w:hanging="240"/>
      </w:pPr>
    </w:lvl>
    <w:lvl w:ilvl="1" w: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ee9aee84be9bda480a8e8bfbe04d89cac6af81d.png"/><Relationship Id="rId10" Type="http://schemas.openxmlformats.org/officeDocument/2006/relationships/image" Target="media/1368665ab784887f67aabf9c9901c45bf7eedee7.png"/><Relationship Id="rId11" Type="http://schemas.openxmlformats.org/officeDocument/2006/relationships/image" Target="media/45f8630db76a861338cd3f44d3aa36dd68b55dd6.png"/><Relationship Id="rId12" Type="http://schemas.openxmlformats.org/officeDocument/2006/relationships/image" Target="media/bcb83f115757d82c8cff3b6cc3b7dcbee5afd1f4.png"/><Relationship Id="rId13" Type="http://schemas.openxmlformats.org/officeDocument/2006/relationships/image" Target="media/08c58c085ee4cbb2bbc26fc406d6b7076867c36c.png"/><Relationship Id="rId14" Type="http://schemas.openxmlformats.org/officeDocument/2006/relationships/image" Target="media/6d89d9e329f98d50be96fdb91ddad135d770bbe1.png"/><Relationship Id="rId15" Type="http://schemas.openxmlformats.org/officeDocument/2006/relationships/image" Target="media/53a72257a419195c2d97576756b95b087abbfd40.png"/><Relationship Id="rId16" Type="http://schemas.openxmlformats.org/officeDocument/2006/relationships/image" Target="media/453dd104a204b746061d811de5059b590a9ba1cf.png"/><Relationship Id="rId17" Type="http://schemas.openxmlformats.org/officeDocument/2006/relationships/image" Target="media/9b839846d33c8692235386e4fec6c859cecb4fc3.png"/><Relationship Id="rId18" Type="http://schemas.openxmlformats.org/officeDocument/2006/relationships/image" Target="media/9f85b9b2a2d523c3dc36760691fc9bcc51df3cd1.png"/><Relationship Id="rId19" Type="http://schemas.openxmlformats.org/officeDocument/2006/relationships/image" Target="media/50490fcbe36b79bda675d8b49b1ea838a4b25985.png"/><Relationship Id="rId20" Type="http://schemas.openxmlformats.org/officeDocument/2006/relationships/image" Target="media/e07a4800bb1c2cd5b02260d863fa706b13d8e121.png"/><Relationship Id="rId21" Type="http://schemas.openxmlformats.org/officeDocument/2006/relationships/image" Target="media/6c7a82b17e6e8404f3f4ee3d1854b527a5092933.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JSB Data Engineer — Practical Exercises: Candidate Submission</dc:title>
  <dc:creator>Candidate submission</dc:creator>
  <cp:lastModifiedBy>Un-named</cp:lastModifiedBy>
  <cp:revision>1</cp:revision>
  <dcterms:created xsi:type="dcterms:W3CDTF">2026-09-28T20:01:28.481Z</dcterms:created>
  <dcterms:modified xsi:type="dcterms:W3CDTF">2026-09-28T20:01:28.481Z</dcterms:modified>
</cp:coreProperties>
</file>

<file path=docProps/custom.xml><?xml version="1.0" encoding="utf-8"?>
<Properties xmlns="http://schemas.openxmlformats.org/officeDocument/2006/custom-properties" xmlns:vt="http://schemas.openxmlformats.org/officeDocument/2006/docPropsVTypes"/>
</file>