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MySQL 8.0 · MariaDB 10.11 (cross-verified) · Python 3.11 · dbt-core 1.7 (dbt-mysql) · Postman / Newman · Mermaid · Power BI (data model)</w:t>
      </w:r>
    </w:p>
    <w:p>
      <w:pPr>
        <w:spacing w:before="20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How to read this document</w:t>
      </w:r>
    </w:p>
    <w:p>
      <w:pPr>
        <w:spacing w:after="160"/>
      </w:pPr>
      <w:r>
        <w:t xml:space="preserve">This document is the write-up for all three practical exercises. Each section states the scenario briefly, the approach taken, the tools used, and the evidence that it actually works — screenshots are captures of real runs, not mock-ups. Full source code, SQL, and raw evidence files accompany this document in the submitted repository (folder: candidate-assessment/).</w:t>
      </w:r>
    </w:p>
    <w:p>
      <w:pPr>
        <w:spacing w:after="160"/>
      </w:pPr>
      <w:r>
        <w:t xml:space="preserve">A short note on assumptions: per the brief's instruction not to stop on ambiguity, every assumption made is written down at the point it's used, not buried — for example the definition of NGR used in Exercise 3, and the fee-rounding tolerance used in Exercise 1.</w:t>
      </w:r>
    </w:p>
    <w:p>
      <w:pPr>
        <w:pStyle w:val="Heading2"/>
        <w:spacing w:after="150" w:before="300"/>
      </w:pPr>
      <w:r>
        <w:t xml:space="preserve">Contents</w:t>
      </w:r>
    </w:p>
    <w:p>
      <w:pPr>
        <w:pStyle w:val="ListParagraph"/>
        <w:numPr>
          <w:ilvl w:val="0"/>
          <w:numId w:val="2"/>
        </w:numPr>
        <w:spacing w:after="80"/>
      </w:pPr>
      <w:r>
        <w:t xml:space="preserve">Exercise 1 — Payment Gateway Reconciliation</w:t>
      </w:r>
    </w:p>
    <w:p>
      <w:pPr>
        <w:pStyle w:val="ListParagraph"/>
        <w:numPr>
          <w:ilvl w:val="0"/>
          <w:numId w:val="2"/>
        </w:numPr>
        <w:spacing w:after="80"/>
      </w:pPr>
      <w:r>
        <w:t xml:space="preserve">Exercise 2 — Incremental, Restartable API Ingestion</w:t>
      </w:r>
    </w:p>
    <w:p>
      <w:pPr>
        <w:pStyle w:val="ListParagraph"/>
        <w:numPr>
          <w:ilvl w:val="0"/>
          <w:numId w:val="2"/>
        </w:numPr>
        <w:spacing w:after="80"/>
      </w:pPr>
      <w:r>
        <w:t xml:space="preserve">Exercise 3 — Database Design: Players, Wallets, Bets, Bonuses</w:t>
      </w:r>
    </w:p>
    <w:p>
      <w:pPr>
        <w:pStyle w:val="ListParagraph"/>
        <w:numPr>
          <w:ilvl w:val="0"/>
          <w:numId w:val="2"/>
        </w:numPr>
        <w:spacing w:after="80"/>
      </w:pPr>
      <w:r>
        <w:t xml:space="preserve">Power BI — Reporting Data Model and Report</w:t>
      </w:r>
    </w:p>
    <w:p>
      <w:pPr>
        <w:pStyle w:val="Heading1"/>
        <w:pageBreakBefore/>
        <w:spacing w:after="200" w:before="400"/>
      </w:pPr>
      <w:r>
        <w:t xml:space="preserve">Exercise 1 — Payment Gateway Reconciliation</w:t>
      </w:r>
    </w:p>
    <w:p>
      <w:pPr>
        <w:spacing w:after="160"/>
      </w:pPr>
      <w:r>
        <w:rPr>
          <w:i/>
          <w:iCs/>
          <w:color w:val="595959"/>
          <w:sz w:val="20"/>
          <w:szCs w:val="20"/>
        </w:rPr>
        <w:t xml:space="preserve">Tools used: MySQL 8.0 for the schema, load and categorisation SQL; Python/pandas for the load script, CSV export and an independent cross-check of the bridge arithmetic.</w:t>
      </w:r>
    </w:p>
    <w:p>
      <w:pPr>
        <w:pStyle w:val="Heading2"/>
        <w:spacing w:after="150" w:before="300"/>
      </w:pPr>
      <w:r>
        <w:t xml:space="preserve">Approach</w:t>
      </w:r>
    </w:p>
    <w:p>
      <w:pPr>
        <w:spacing w:after="160"/>
      </w:pPr>
      <w:r>
        <w:t xml:space="preserve">Both source files were loaded as-is into MySQL. Matching between internal_deposits.gateway_ref and gateway_settlement.merchant_ref uses a normalised reference (upper-case, letters and digits only) because the gateway sends the same reference with different punctuation and case ("GW-000102", "GW000102", "gw-000196", and leading/trailing spaces) — a raw string-equality join would have misclassified four genuinely-clean matches as breaks.</w:t>
      </w:r>
    </w:p>
    <w:p>
      <w:pPr>
        <w:spacing w:after="160"/>
      </w:pPr>
      <w:r>
        <w:t xml:space="preserve">Every internal SUCCESS deposit and every gateway settlement row is categorised into one of eleven types — a genuine break, a timing difference, a business event (reversal), or not a problem at all — using the SQL logic in exercise1-reconciliation/sql/03_reconciliation.sql, later ported into a dbt model (fct_recon_exceptions) so it can run on a schedule with tests attached.</w:t>
      </w:r>
    </w:p>
    <w:p>
      <w:pPr>
        <w:pStyle w:val="Heading2"/>
        <w:spacing w:after="150" w:before="300"/>
      </w:pPr>
      <w:r>
        <w:t xml:space="preserve">Result</w:t>
      </w:r>
    </w:p>
    <w:p>
      <w:pPr>
        <w:spacing w:after="160"/>
      </w:pPr>
      <w:r>
        <w:t xml:space="preserve">294 of 306 gateway-recognised settlements (96%) match our records exactly — amount and fee both correct. The remaining differences are fully categorised below; nothing is left unexplained.</w:t>
      </w:r>
    </w:p>
    <w:p>
      <w:pPr>
        <w:spacing w:before="200"/>
        <w:jc w:val="center"/>
      </w:pPr>
      <w:r>
        <w:drawing>
          <wp:inline distT="0" distB="0" distL="0" distR="0">
            <wp:extent cx="4762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against MySQL 8.0 — category breakdown and the bridge.</w:t>
      </w:r>
    </w:p>
    <w:p>
      <w:pPr>
        <w:pStyle w:val="Heading2"/>
        <w:spacing w:after="150" w:before="300"/>
      </w:pPr>
      <w:r>
        <w:t xml:space="preserve">Exceptions by category</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900"/>
        <w:gridCol w:w="12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26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1800"/>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900"/>
            <w:tcMar>
              <w:top w:type="dxa" w:w="60"/>
              <w:left w:type="dxa" w:w="100"/>
              <w:bottom w:type="dxa" w:w="60"/>
              <w:right w:type="dxa" w:w="100"/>
            </w:tcMar>
            <w:vAlign w:val="center"/>
          </w:tcPr>
          <w:p>
            <w:pPr>
              <w:jc w:val="left"/>
            </w:pPr>
            <w:r>
              <w:rPr>
                <w:b w:val="false"/>
                <w:bCs w:val="false"/>
                <w:sz w:val="19"/>
                <w:szCs w:val="19"/>
              </w:rPr>
              <w:t xml:space="preserve">2</w:t>
            </w:r>
          </w:p>
        </w:tc>
        <w:tc>
          <w:tcPr>
            <w:tcW w:type="dxa" w:w="1260"/>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Break — act now</w:t>
            </w:r>
          </w:p>
        </w:tc>
        <w:tc>
          <w:tcPr>
            <w:tcW w:type="dxa" w:w="900"/>
            <w:shd w:fill="EEF3F8" w:val="clear"/>
            <w:tcMar>
              <w:top w:type="dxa" w:w="60"/>
              <w:left w:type="dxa" w:w="100"/>
              <w:bottom w:type="dxa" w:w="60"/>
              <w:right w:type="dxa" w:w="100"/>
            </w:tcMar>
            <w:vAlign w:val="center"/>
          </w:tcPr>
          <w:p>
            <w:pPr>
              <w:jc w:val="left"/>
            </w:pPr>
            <w:r>
              <w:rPr>
                <w:b w:val="false"/>
                <w:bCs w:val="false"/>
                <w:sz w:val="19"/>
                <w:szCs w:val="19"/>
              </w:rPr>
              <w:t xml:space="preserve">7</w:t>
            </w:r>
          </w:p>
        </w:tc>
        <w:tc>
          <w:tcPr>
            <w:tcW w:type="dxa" w:w="1260"/>
            <w:shd w:fill="EEF3F8" w:val="clear"/>
            <w:tcMar>
              <w:top w:type="dxa" w:w="60"/>
              <w:left w:type="dxa" w:w="100"/>
              <w:bottom w:type="dxa" w:w="60"/>
              <w:right w:type="dxa" w:w="100"/>
            </w:tcMar>
            <w:vAlign w:val="center"/>
          </w:tcPr>
          <w:p>
            <w:pPr>
              <w:jc w:val="left"/>
            </w:pPr>
            <w:r>
              <w:rPr>
                <w:b w:val="false"/>
                <w:bCs w:val="false"/>
                <w:sz w:val="19"/>
                <w:szCs w:val="19"/>
              </w:rPr>
              <w:t xml:space="preserve">5,500.00</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18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900"/>
            <w:tcMar>
              <w:top w:type="dxa" w:w="60"/>
              <w:left w:type="dxa" w:w="100"/>
              <w:bottom w:type="dxa" w:w="60"/>
              <w:right w:type="dxa" w:w="100"/>
            </w:tcMar>
            <w:vAlign w:val="center"/>
          </w:tcPr>
          <w:p>
            <w:pPr>
              <w:jc w:val="left"/>
            </w:pPr>
            <w:r>
              <w:rPr>
                <w:b w:val="false"/>
                <w:bCs w:val="false"/>
                <w:sz w:val="19"/>
                <w:szCs w:val="19"/>
              </w:rPr>
              <w:t xml:space="preserve">4</w:t>
            </w:r>
          </w:p>
        </w:tc>
        <w:tc>
          <w:tcPr>
            <w:tcW w:type="dxa" w:w="1260"/>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Break — dedupe</w:t>
            </w:r>
          </w:p>
        </w:tc>
        <w:tc>
          <w:tcPr>
            <w:tcW w:type="dxa" w:w="900"/>
            <w:shd w:fill="EEF3F8" w:val="clear"/>
            <w:tcMar>
              <w:top w:type="dxa" w:w="60"/>
              <w:left w:type="dxa" w:w="100"/>
              <w:bottom w:type="dxa" w:w="60"/>
              <w:right w:type="dxa" w:w="100"/>
            </w:tcMar>
            <w:vAlign w:val="center"/>
          </w:tcPr>
          <w:p>
            <w:pPr>
              <w:jc w:val="left"/>
            </w:pPr>
            <w:r>
              <w:rPr>
                <w:b w:val="false"/>
                <w:bCs w:val="false"/>
                <w:sz w:val="19"/>
                <w:szCs w:val="19"/>
              </w:rPr>
              <w:t xml:space="preserve">6</w:t>
            </w:r>
          </w:p>
        </w:tc>
        <w:tc>
          <w:tcPr>
            <w:tcW w:type="dxa" w:w="126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1800"/>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900"/>
            <w:tcMar>
              <w:top w:type="dxa" w:w="60"/>
              <w:left w:type="dxa" w:w="100"/>
              <w:bottom w:type="dxa" w:w="60"/>
              <w:right w:type="dxa" w:w="100"/>
            </w:tcMar>
            <w:vAlign w:val="center"/>
          </w:tcPr>
          <w:p>
            <w:pPr>
              <w:jc w:val="left"/>
            </w:pPr>
            <w:r>
              <w:rPr>
                <w:b w:val="false"/>
                <w:bCs w:val="false"/>
                <w:sz w:val="19"/>
                <w:szCs w:val="19"/>
              </w:rPr>
              <w:t xml:space="preserve">4</w:t>
            </w:r>
          </w:p>
        </w:tc>
        <w:tc>
          <w:tcPr>
            <w:tcW w:type="dxa" w:w="1260"/>
            <w:tcMar>
              <w:top w:type="dxa" w:w="60"/>
              <w:left w:type="dxa" w:w="100"/>
              <w:bottom w:type="dxa" w:w="60"/>
              <w:right w:type="dxa" w:w="100"/>
            </w:tcMar>
            <w:vAlign w:val="center"/>
          </w:tcPr>
          <w:p>
            <w:pPr>
              <w:jc w:val="left"/>
            </w:pPr>
            <w:r>
              <w:rPr>
                <w:b w:val="false"/>
                <w:bCs w:val="false"/>
                <w:sz w:val="19"/>
                <w:szCs w:val="19"/>
              </w:rPr>
              <w:t xml:space="preserve">-900.00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Break — dispute</w:t>
            </w:r>
          </w:p>
        </w:tc>
        <w:tc>
          <w:tcPr>
            <w:tcW w:type="dxa" w:w="9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26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1800"/>
            <w:tcMar>
              <w:top w:type="dxa" w:w="60"/>
              <w:left w:type="dxa" w:w="100"/>
              <w:bottom w:type="dxa" w:w="60"/>
              <w:right w:type="dxa" w:w="100"/>
            </w:tcMar>
            <w:vAlign w:val="center"/>
          </w:tcPr>
          <w:p>
            <w:pPr>
              <w:jc w:val="left"/>
            </w:pPr>
            <w:r>
              <w:rPr>
                <w:b w:val="false"/>
                <w:bCs w:val="false"/>
                <w:sz w:val="19"/>
                <w:szCs w:val="19"/>
              </w:rPr>
              <w:t xml:space="preserve">Business event</w:t>
            </w:r>
          </w:p>
        </w:tc>
        <w:tc>
          <w:tcPr>
            <w:tcW w:type="dxa" w:w="900"/>
            <w:tcMar>
              <w:top w:type="dxa" w:w="60"/>
              <w:left w:type="dxa" w:w="100"/>
              <w:bottom w:type="dxa" w:w="60"/>
              <w:right w:type="dxa" w:w="100"/>
            </w:tcMar>
            <w:vAlign w:val="center"/>
          </w:tcPr>
          <w:p>
            <w:pPr>
              <w:jc w:val="left"/>
            </w:pPr>
            <w:r>
              <w:rPr>
                <w:b w:val="false"/>
                <w:bCs w:val="false"/>
                <w:sz w:val="19"/>
                <w:szCs w:val="19"/>
              </w:rPr>
              <w:t xml:space="preserve">3</w:t>
            </w:r>
          </w:p>
        </w:tc>
        <w:tc>
          <w:tcPr>
            <w:tcW w:type="dxa" w:w="1260"/>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Timing / possible break</w:t>
            </w:r>
          </w:p>
        </w:tc>
        <w:tc>
          <w:tcPr>
            <w:tcW w:type="dxa" w:w="900"/>
            <w:shd w:fill="EEF3F8" w:val="clear"/>
            <w:tcMar>
              <w:top w:type="dxa" w:w="60"/>
              <w:left w:type="dxa" w:w="100"/>
              <w:bottom w:type="dxa" w:w="60"/>
              <w:right w:type="dxa" w:w="100"/>
            </w:tcMar>
            <w:vAlign w:val="center"/>
          </w:tcPr>
          <w:p>
            <w:pPr>
              <w:jc w:val="left"/>
            </w:pPr>
            <w:r>
              <w:rPr>
                <w:b w:val="false"/>
                <w:bCs w:val="false"/>
                <w:sz w:val="19"/>
                <w:szCs w:val="19"/>
              </w:rPr>
              <w:t xml:space="preserve">5</w:t>
            </w:r>
          </w:p>
        </w:tc>
        <w:tc>
          <w:tcPr>
            <w:tcW w:type="dxa" w:w="1260"/>
            <w:shd w:fill="EEF3F8" w:val="clear"/>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Created near period cut-off</w:t>
            </w:r>
          </w:p>
        </w:tc>
        <w:tc>
          <w:tcPr>
            <w:tcW w:type="dxa" w:w="1800"/>
            <w:tcMar>
              <w:top w:type="dxa" w:w="60"/>
              <w:left w:type="dxa" w:w="100"/>
              <w:bottom w:type="dxa" w:w="60"/>
              <w:right w:type="dxa" w:w="100"/>
            </w:tcMar>
            <w:vAlign w:val="center"/>
          </w:tcPr>
          <w:p>
            <w:pPr>
              <w:jc w:val="left"/>
            </w:pPr>
            <w:r>
              <w:rPr>
                <w:b w:val="false"/>
                <w:bCs w:val="false"/>
                <w:sz w:val="19"/>
                <w:szCs w:val="19"/>
              </w:rPr>
              <w:t xml:space="preserve">Timing — not a problem</w:t>
            </w:r>
          </w:p>
        </w:tc>
        <w:tc>
          <w:tcPr>
            <w:tcW w:type="dxa" w:w="900"/>
            <w:tcMar>
              <w:top w:type="dxa" w:w="60"/>
              <w:left w:type="dxa" w:w="100"/>
              <w:bottom w:type="dxa" w:w="60"/>
              <w:right w:type="dxa" w:w="100"/>
            </w:tcMar>
            <w:vAlign w:val="center"/>
          </w:tcPr>
          <w:p>
            <w:pPr>
              <w:jc w:val="left"/>
            </w:pPr>
            <w:r>
              <w:rPr>
                <w:b w:val="false"/>
                <w:bCs w:val="false"/>
                <w:sz w:val="19"/>
                <w:szCs w:val="19"/>
              </w:rPr>
              <w:t xml:space="preserve">3</w:t>
            </w:r>
          </w:p>
        </w:tc>
        <w:tc>
          <w:tcPr>
            <w:tcW w:type="dxa" w:w="1260"/>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Rounding ≤ 1 cent</w:t>
            </w:r>
          </w:p>
        </w:tc>
        <w:tc>
          <w:tcPr>
            <w:tcW w:type="dxa" w:w="180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9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26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bl>
    <w:p>
      <w:pPr>
        <w:spacing w:after="160"/>
      </w:pPr>
      <w:r>
        <w:rPr>
          <w:i/>
          <w:iCs/>
          <w:color w:val="595959"/>
          <w:sz w:val="18"/>
          <w:szCs w:val="18"/>
        </w:rPr>
        <w:t xml:space="preserve">* Impact shown at the deposit-vs-settlement level is 0 for these rows because the two amounts match; the real cost is the duplicate itself (double-credit risk, or a disputed double-settlement) — see the bridge, where each is accounted for separately.</w:t>
      </w:r>
    </w:p>
    <w:p>
      <w:pPr>
        <w:pStyle w:val="Heading2"/>
        <w:spacing w:after="150" w:before="300"/>
      </w:pPr>
      <w:r>
        <w:t xml:space="preserve">The bridge: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60"/>
              <w:left w:type="dxa" w:w="100"/>
              <w:bottom w:type="dxa" w:w="60"/>
              <w:right w:type="dxa" w:w="100"/>
            </w:tcMar>
            <w:vAlign w:val="center"/>
          </w:tcPr>
          <w:p>
            <w:pPr>
              <w:jc w:val="left"/>
            </w:pPr>
            <w:r>
              <w:rPr>
                <w:b/>
                <w:bCs/>
                <w:color w:val="FFFFFF"/>
                <w:sz w:val="19"/>
                <w:szCs w:val="19"/>
              </w:rPr>
              <w:t xml:space="preserve">Line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Amount (NAD)</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Internal SUCCESS deposits, total</w:t>
            </w:r>
          </w:p>
        </w:tc>
        <w:tc>
          <w:tcPr>
            <w:tcW w:type="dxa" w:w="2000"/>
            <w:tcMar>
              <w:top w:type="dxa" w:w="60"/>
              <w:left w:type="dxa" w:w="100"/>
              <w:bottom w:type="dxa" w:w="60"/>
              <w:right w:type="dxa" w:w="100"/>
            </w:tcMar>
            <w:vAlign w:val="center"/>
          </w:tcPr>
          <w:p>
            <w:pPr>
              <w:jc w:val="left"/>
            </w:pPr>
            <w:r>
              <w:rPr>
                <w:b w:val="false"/>
                <w:bCs w:val="false"/>
                <w:sz w:val="19"/>
                <w:szCs w:val="19"/>
              </w:rPr>
              <w:t xml:space="preserve">218,280.00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Duplicate internal deposit rows (same settlement counted twice)</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Reversals / chargebacks (excluded from gateway's SETTLED total)</w:t>
            </w:r>
          </w:p>
        </w:tc>
        <w:tc>
          <w:tcPr>
            <w:tcW w:type="dxa" w:w="2000"/>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Deposits not yet settled by the gateway</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Deposits created in the last 15 minutes of the period</w:t>
            </w:r>
          </w:p>
        </w:tc>
        <w:tc>
          <w:tcPr>
            <w:tcW w:type="dxa" w:w="2000"/>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Settlements with no matching internal record</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5,500.00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Payments the gateway settled that we marked FAILED</w:t>
            </w:r>
          </w:p>
        </w:tc>
        <w:tc>
          <w:tcPr>
            <w:tcW w:type="dxa" w:w="2000"/>
            <w:tcMar>
              <w:top w:type="dxa" w:w="60"/>
              <w:left w:type="dxa" w:w="100"/>
              <w:bottom w:type="dxa" w:w="60"/>
              <w:right w:type="dxa" w:w="100"/>
            </w:tcMar>
            <w:vAlign w:val="center"/>
          </w:tcPr>
          <w:p>
            <w:pPr>
              <w:jc w:val="left"/>
            </w:pPr>
            <w:r>
              <w:rPr>
                <w:b w:val="false"/>
                <w:bCs w:val="false"/>
                <w:sz w:val="19"/>
                <w:szCs w:val="19"/>
              </w:rPr>
              <w:t xml:space="preserve">250.00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Duplicate gateway settlement rows</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Gross amount disputes with the gateway</w:t>
            </w:r>
          </w:p>
        </w:tc>
        <w:tc>
          <w:tcPr>
            <w:tcW w:type="dxa" w:w="2000"/>
            <w:tcMar>
              <w:top w:type="dxa" w:w="60"/>
              <w:left w:type="dxa" w:w="100"/>
              <w:bottom w:type="dxa" w:w="60"/>
              <w:right w:type="dxa" w:w="100"/>
            </w:tcMar>
            <w:vAlign w:val="center"/>
          </w:tcPr>
          <w:p>
            <w:pPr>
              <w:jc w:val="left"/>
            </w:pPr>
            <w:r>
              <w:rPr>
                <w:b w:val="false"/>
                <w:bCs w:val="false"/>
                <w:sz w:val="19"/>
                <w:szCs w:val="19"/>
              </w:rPr>
              <w:t xml:space="preserve">900.00</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 Rounding (≤ 1 cent, immaterial)</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7360"/>
            <w:tcMar>
              <w:top w:type="dxa" w:w="60"/>
              <w:left w:type="dxa" w:w="100"/>
              <w:bottom w:type="dxa" w:w="60"/>
              <w:right w:type="dxa" w:w="100"/>
            </w:tcMar>
            <w:vAlign w:val="center"/>
          </w:tcPr>
          <w:p>
            <w:pPr>
              <w:jc w:val="left"/>
            </w:pPr>
            <w:r>
              <w:rPr>
                <w:b w:val="false"/>
                <w:bCs w:val="false"/>
                <w:sz w:val="19"/>
                <w:szCs w:val="19"/>
              </w:rPr>
              <w:t xml:space="preserve">= Gateway SETTLED total</w:t>
            </w:r>
          </w:p>
        </w:tc>
        <w:tc>
          <w:tcPr>
            <w:tcW w:type="dxa" w:w="2000"/>
            <w:tcMar>
              <w:top w:type="dxa" w:w="60"/>
              <w:left w:type="dxa" w:w="100"/>
              <w:bottom w:type="dxa" w:w="60"/>
              <w:right w:type="dxa" w:w="100"/>
            </w:tcMar>
            <w:vAlign w:val="center"/>
          </w:tcPr>
          <w:p>
            <w:pPr>
              <w:jc w:val="left"/>
            </w:pPr>
            <w:r>
              <w:rPr>
                <w:b w:val="false"/>
                <w:bCs w:val="false"/>
                <w:sz w:val="19"/>
                <w:szCs w:val="19"/>
              </w:rPr>
              <w:t xml:space="preserve">217,979.97</w:t>
            </w:r>
          </w:p>
        </w:tc>
      </w:tr>
      <w:tr>
        <w:trPr>
          <w:cantSplit/>
        </w:trPr>
        <w:tc>
          <w:tcPr>
            <w:tcW w:type="dxa" w:w="7360"/>
            <w:shd w:fill="EEF3F8" w:val="clear"/>
            <w:tcMar>
              <w:top w:type="dxa" w:w="60"/>
              <w:left w:type="dxa" w:w="100"/>
              <w:bottom w:type="dxa" w:w="60"/>
              <w:right w:type="dxa" w:w="100"/>
            </w:tcMar>
            <w:vAlign w:val="center"/>
          </w:tcPr>
          <w:p>
            <w:pPr>
              <w:jc w:val="left"/>
            </w:pPr>
            <w:r>
              <w:rPr>
                <w:b w:val="false"/>
                <w:bCs w:val="false"/>
                <w:sz w:val="19"/>
                <w:szCs w:val="19"/>
              </w:rPr>
              <w:t xml:space="preserve">Residual (unexplained)</w:t>
            </w:r>
          </w:p>
        </w:tc>
        <w:tc>
          <w:tcPr>
            <w:tcW w:type="dxa" w:w="2000"/>
            <w:shd w:fill="EEF3F8" w:val="clear"/>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60"/>
      </w:pPr>
    </w:p>
    <w:p>
      <w:pPr>
        <w:spacing w:after="160"/>
      </w:pPr>
      <w:r>
        <w:t xml:space="preserve">This bridge is no longer just a spreadsheet exercise: it's enforced by a dbt singular test (assert_recon_bridge_reconciles) that fails the build if the residual ever moves off zero — see the dbt section below.</w:t>
      </w:r>
    </w:p>
    <w:p>
      <w:pPr>
        <w:pStyle w:val="Heading2"/>
        <w:spacing w:after="150" w:before="300"/>
      </w:pPr>
      <w:r>
        <w:t xml:space="preserve">Automating this daily</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1"/>
        <w:pageBreakBefore/>
        <w:spacing w:after="200" w:before="400"/>
      </w:pPr>
      <w:r>
        <w:t xml:space="preserve">Exercise 2 — Incremental, Restartable API Ingestion</w:t>
      </w:r>
    </w:p>
    <w:p>
      <w:pPr>
        <w:spacing w:after="160"/>
      </w:pPr>
      <w:r>
        <w:rPr>
          <w:i/>
          <w:iCs/>
          <w:color w:val="595959"/>
          <w:sz w:val="20"/>
          <w:szCs w:val="20"/>
        </w:rPr>
        <w:t xml:space="preserve">Tools used: Python 3 (standard library urllib only — no HTTP framework dependency), MySQL 8.0 for the checkpoint/ledger tables, Postman/Newman for exercising and documenting the API contract.</w:t>
      </w:r>
    </w:p>
    <w:p>
      <w:pPr>
        <w:pStyle w:val="Heading2"/>
        <w:spacing w:after="150" w:before="300"/>
      </w:pPr>
      <w:r>
        <w:t xml:space="preserve">Design</w:t>
      </w:r>
    </w:p>
    <w:p>
      <w:pPr>
        <w:pStyle w:val="ListParagraph"/>
        <w:numPr>
          <w:ilvl w:val="0"/>
          <w:numId w:val="2"/>
        </w:numPr>
        <w:spacing w:after="80"/>
      </w:pPr>
      <w:r>
        <w:t xml:space="preserve">Progress lives in MySQL (ingest_checkpoint), not memory or a local file, so any process on any host can resume it. Each run resumes from updated_since = last processed updated_at (inclusive), then paginates within the run via the server's cursor.</w:t>
      </w:r>
    </w:p>
    <w:p>
      <w:pPr>
        <w:pStyle w:val="ListParagraph"/>
        <w:numPr>
          <w:ilvl w:val="0"/>
          <w:numId w:val="2"/>
        </w:numPr>
        <w:spacing w:after="80"/>
      </w:pPr>
      <w:r>
        <w:t xml:space="preserve">Every write is an upsert (INSERT … ON DUPLICATE KEY UPDATE) keyed on the provider's id — replaying a page is always safe. The data upsert, the reject-quarantine insert, the checkpoint update, and the run counters are committed together in one transaction per page.</w:t>
      </w:r>
    </w:p>
    <w:p>
      <w:pPr>
        <w:pStyle w:val="ListParagraph"/>
        <w:numPr>
          <w:ilvl w:val="0"/>
          <w:numId w:val="2"/>
        </w:numPr>
        <w:spacing w:after="80"/>
      </w:pPr>
      <w:r>
        <w:t xml:space="preserve">429 (rate limited): sleep for Retry-After, retry the same request. 500 / network errors: exponential backoff. Bad records (unparseable amount, missing player_id): quarantined with the reason and the full raw JSON — never silently dropped.</w:t>
      </w:r>
    </w:p>
    <w:p>
      <w:pPr>
        <w:pStyle w:val="ListParagraph"/>
        <w:numPr>
          <w:ilvl w:val="0"/>
          <w:numId w:val="2"/>
        </w:numPr>
        <w:spacing w:after="80"/>
      </w:pPr>
      <w:r>
        <w:t xml:space="preserve">Every run writes one row to ingest_runs: pages fetched, rows upserted/rejected, 429/500 counts, status. A run stuck RUNNING past one scheduling interval is the signal a stale-run monitor pages on.</w:t>
      </w:r>
    </w:p>
    <w:p>
      <w:pPr>
        <w:pStyle w:val="Heading2"/>
        <w:spacing w:after="150" w:before="300"/>
      </w:pPr>
      <w:r>
        <w:t xml:space="preserve">Evidence: kill, restart, new activity</w:t>
      </w:r>
    </w:p>
    <w:p>
      <w:pPr>
        <w:spacing w:after="160"/>
      </w:pPr>
      <w:r>
        <w:t xml:space="preserve">The process was started with a small page size and an artificial pre-commit delay, then killed with SIGKILL mid-page — a hard crash, not a graceful shutdown.</w:t>
      </w:r>
    </w:p>
    <w:p>
      <w:pPr>
        <w:spacing w:before="200"/>
        <w:jc w:val="center"/>
      </w:pPr>
      <w:r>
        <w:drawing>
          <wp:inline distT="0" distB="0" distL="0" distR="0">
            <wp:extent cx="5334000" cy="4667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667250"/>
                    </a:xfrm>
                    <a:prstGeom prst="rect">
                      <a:avLst/>
                    </a:prstGeom>
                  </pic:spPr>
                </pic:pic>
              </a:graphicData>
            </a:graphic>
          </wp:inline>
        </w:drawing>
      </w:r>
    </w:p>
    <w:p>
      <w:pPr>
        <w:spacing w:after="300" w:before="80"/>
        <w:jc w:val="center"/>
      </w:pPr>
      <w:r>
        <w:rPr>
          <w:i/>
          <w:iCs/>
          <w:color w:val="595959"/>
          <w:sz w:val="20"/>
          <w:szCs w:val="20"/>
        </w:rPr>
        <w:t xml:space="preserve">Actual terminal output: kill mid-page → restart → complete → simulate new provider activity → rerun.</w:t>
      </w:r>
    </w:p>
    <w:p>
      <w:pPr>
        <w:spacing w:after="160"/>
      </w:pPr>
      <w:r>
        <w:t xml:space="preserve">Result: 50 rows committed before the kill (exactly page 1 — page 2 never landed), the run left visibly RUNNING (the stale-run signal), and a clean restart resumed correctly with zero duplicates and zero missing rows. After simulating new activity (POST /admin/advance), a rerun correctly picked up 40 changed records and 25 new ones — including a live 429 that was retried automatically.</w:t>
      </w:r>
    </w:p>
    <w:p>
      <w:pPr>
        <w:pStyle w:val="Heading2"/>
        <w:spacing w:after="150" w:before="300"/>
      </w:pPr>
      <w:r>
        <w:t xml:space="preserve">API contract — Postman</w:t>
      </w:r>
    </w:p>
    <w:p>
      <w:pPr>
        <w:spacing w:after="160"/>
      </w:pPr>
      <w:r>
        <w:t xml:space="preserve">A Postman collection documents the API's pagination, filtering, auth and admin-simulation behaviour, and includes a self-paginating request that walks every page and reports the total record count directly in Postman's Test Results panel.</w:t>
      </w:r>
    </w:p>
    <w:p>
      <w:pPr>
        <w:spacing w:before="200"/>
        <w:jc w:val="center"/>
      </w:pPr>
      <w:r>
        <w:drawing>
          <wp:inline distT="0" distB="0" distL="0" distR="0">
            <wp:extent cx="5334000" cy="37528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 5 requests, 10/10 assertions passing.</w:t>
      </w:r>
    </w:p>
    <w:p>
      <w:pPr>
        <w:pStyle w:val="Heading2"/>
        <w:spacing w:after="150" w:before="300"/>
      </w:pPr>
      <w:r>
        <w:t xml:space="preserve">Live run — Postman Desktop against the local mock API</w:t>
      </w:r>
    </w:p>
    <w:p>
      <w:pPr>
        <w:spacing w:after="160"/>
      </w:pPr>
      <w:r>
        <w:t xml:space="preserve">The same collection was then imported into Postman Desktop on a Windows workstation and run against mock_api.py started from PyCharm — an independent environment from the one the code was built in.</w:t>
      </w:r>
    </w:p>
    <w:p>
      <w:pPr>
        <w:spacing w:before="200"/>
        <w:jc w:val="center"/>
      </w:pPr>
      <w:r>
        <w:drawing>
          <wp:inline distT="0" distB="0" distL="0" distR="0">
            <wp:extent cx="5715000" cy="3143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300" w:before="80"/>
        <w:jc w:val="center"/>
      </w:pPr>
      <w:r>
        <w:rPr>
          <w:i/>
          <w:iCs/>
          <w:color w:val="595959"/>
          <w:sz w:val="20"/>
          <w:szCs w:val="20"/>
        </w:rPr>
        <w:t xml:space="preserve">mock_api.py running in PyCharm: "Mock API on http://127.0.0.1:8000 (faults on)".</w:t>
      </w:r>
    </w:p>
    <w:p>
      <w:pPr>
        <w:spacing w:before="200"/>
        <w:jc w:val="center"/>
      </w:pPr>
      <w:r>
        <w:drawing>
          <wp:inline distT="0" distB="0" distL="0" distR="0">
            <wp:extent cx="4381500" cy="3000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000375"/>
                    </a:xfrm>
                    <a:prstGeom prst="rect">
                      <a:avLst/>
                    </a:prstGeom>
                  </pic:spPr>
                </pic:pic>
              </a:graphicData>
            </a:graphic>
          </wp:inline>
        </w:drawing>
      </w:r>
    </w:p>
    <w:p>
      <w:pPr>
        <w:spacing w:after="300" w:before="80"/>
        <w:jc w:val="center"/>
      </w:pPr>
      <w:r>
        <w:rPr>
          <w:i/>
          <w:iCs/>
          <w:color w:val="595959"/>
          <w:sz w:val="20"/>
          <w:szCs w:val="20"/>
        </w:rPr>
        <w:t xml:space="preserve">Collection Runner configuration: all seven requests, one iteration.</w:t>
      </w:r>
    </w:p>
    <w:p>
      <w:pPr>
        <w:spacing w:before="200"/>
        <w:jc w:val="center"/>
      </w:pPr>
      <w:r>
        <w:drawing>
          <wp:inline distT="0" distB="0" distL="0" distR="0">
            <wp:extent cx="4572000" cy="3790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1–4 of the self-paginating count. Page 1 returns 201 rows for limit=200 (the API's documented in-page duplicate); page 4 hits a live 500 and retries the same page.</w:t>
      </w:r>
    </w:p>
    <w:p>
      <w:pPr>
        <w:spacing w:before="200"/>
        <w:jc w:val="center"/>
      </w:pPr>
      <w:r>
        <w:drawing>
          <wp:inline distT="0" distB="0" distL="0" distR="0">
            <wp:extent cx="4572000" cy="3790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90950"/>
                    </a:xfrm>
                    <a:prstGeom prst="rect">
                      <a:avLst/>
                    </a:prstGeom>
                  </pic:spPr>
                </pic:pic>
              </a:graphicData>
            </a:graphic>
          </wp:inline>
        </w:drawing>
      </w:r>
    </w:p>
    <w:p>
      <w:pPr>
        <w:spacing w:after="300" w:before="80"/>
        <w:jc w:val="center"/>
      </w:pPr>
      <w:r>
        <w:rPr>
          <w:i/>
          <w:iCs/>
          <w:color w:val="595959"/>
          <w:sz w:val="20"/>
          <w:szCs w:val="20"/>
        </w:rPr>
        <w:t xml:space="preserve">Runner results, pages 4–6: DONE — total records returned by the API: 1,027 across 6 pages.</w:t>
      </w:r>
    </w:p>
    <w:p>
      <w:pPr>
        <w:spacing w:after="160"/>
      </w:pPr>
      <w:r>
        <w:t xml:space="preserve">The run reports 16 of 18 assertions passing. The two failures are on request 2 ("Next page"), a one-shot documentation request with no retry logic, which happened to land on the mock API's injected 429. Only the counting request carries retry handling. That is by design, and it shows why the ingestion program retries every call.</w:t>
      </w:r>
    </w:p>
    <w:p>
      <w:pPr>
        <w:spacing w:after="160"/>
      </w:pPr>
      <w:r>
        <w:t xml:space="preserve">Why 1,027 rather than 1,025: the runner executes /admin/advance (request 5) before the count, so the dataset is already 1,025 records; the extra rows are the API's deliberate in-page duplicates, counted raw here. ingest.py deduplicates them, which is why its loaded row count is lower than the raw count.</w:t>
      </w:r>
    </w:p>
    <w:p>
      <w:pPr>
        <w:pStyle w:val="Heading2"/>
        <w:spacing w:after="150" w:before="300"/>
      </w:pPr>
      <w:r>
        <w:t xml:space="preserve">What I'd change for production</w:t>
      </w:r>
    </w:p>
    <w:p>
      <w:pPr>
        <w:pStyle w:val="ListParagraph"/>
        <w:numPr>
          <w:ilvl w:val="0"/>
          <w:numId w:val="2"/>
        </w:numPr>
        <w:spacing w:after="80"/>
      </w:pPr>
      <w:r>
        <w:t xml:space="preserve">A managed scheduler (Airflow / cron+systemd) with a concurrency lock, so two overlapping runs can't race.</w:t>
      </w:r>
    </w:p>
    <w:p>
      <w:pPr>
        <w:pStyle w:val="ListParagraph"/>
        <w:numPr>
          <w:ilvl w:val="0"/>
          <w:numId w:val="2"/>
        </w:numPr>
        <w:spacing w:after="80"/>
      </w:pPr>
      <w:r>
        <w:t xml:space="preserve">Secrets (API key, DB credentials) out of source and into a secrets manager.</w:t>
      </w:r>
    </w:p>
    <w:p>
      <w:pPr>
        <w:pStyle w:val="ListParagraph"/>
        <w:numPr>
          <w:ilvl w:val="0"/>
          <w:numId w:val="2"/>
        </w:numPr>
        <w:spacing w:after="80"/>
      </w:pPr>
      <w:r>
        <w:t xml:space="preserve">Page on FAILED runs, a stale RUNNING row, or a rejects-rate spike (usually a schema change, not random dirty data).</w:t>
      </w:r>
    </w:p>
    <w:p>
      <w:pPr>
        <w:pStyle w:val="ListParagraph"/>
        <w:numPr>
          <w:ilvl w:val="0"/>
          <w:numId w:val="2"/>
        </w:numPr>
        <w:spacing w:after="80"/>
      </w:pPr>
      <w:r>
        <w:t xml:space="preserve">At real volume: staging-table + bulk MERGE instead of row-by-row upserts; partition by date; multiple workers on disjoint id ranges if one API key's rate limit becomes the bottleneck.</w:t>
      </w:r>
    </w:p>
    <w:p>
      <w:pPr>
        <w:pStyle w:val="Heading1"/>
        <w:pageBreakBefore/>
        <w:spacing w:after="200" w:before="400"/>
      </w:pPr>
      <w:r>
        <w:t xml:space="preserve">Exercise 3 — Database Design: Players, Wallets, Bets, Bonuses</w:t>
      </w:r>
    </w:p>
    <w:p>
      <w:pPr>
        <w:spacing w:after="160"/>
      </w:pPr>
      <w:r>
        <w:rPr>
          <w:i/>
          <w:iCs/>
          <w:color w:val="595959"/>
          <w:sz w:val="20"/>
          <w:szCs w:val="20"/>
        </w:rPr>
        <w:t xml:space="preserve">Tools used: MySQL 8.0 for the schema (cross-verified against MariaDB 10.11), Mermaid for the ERD, dbt for the reporting-model mapping.</w:t>
      </w:r>
    </w:p>
    <w:p>
      <w:pPr>
        <w:pStyle w:val="Heading2"/>
        <w:spacing w:after="150" w:before="300"/>
      </w:pPr>
      <w:r>
        <w:t xml:space="preserve">Entity-relationship diagram</w:t>
      </w:r>
    </w:p>
    <w:p>
      <w:pPr>
        <w:spacing w:before="200"/>
        <w:jc w:val="center"/>
      </w:pPr>
      <w:r>
        <w:drawing>
          <wp:inline distT="0" distB="0" distL="0" distR="0">
            <wp:extent cx="5905500" cy="5162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162550"/>
                    </a:xfrm>
                    <a:prstGeom prst="rect">
                      <a:avLst/>
                    </a:prstGeom>
                  </pic:spPr>
                </pic:pic>
              </a:graphicData>
            </a:graphic>
          </wp:inline>
        </w:drawing>
      </w:r>
    </w:p>
    <w:p>
      <w:pPr>
        <w:spacing w:after="300" w:before="80"/>
        <w:jc w:val="center"/>
      </w:pPr>
      <w:r>
        <w:rPr>
          <w:i/>
          <w:iCs/>
          <w:color w:val="595959"/>
          <w:sz w:val="20"/>
          <w:szCs w:val="20"/>
        </w:rPr>
        <w:t xml:space="preserve">23-table operational schema — full DDL in exercise3-schema-design/ddl.sql, verified to run clean on both MySQL 8.0 and MariaDB 10.11.</w:t>
      </w:r>
    </w:p>
    <w:p>
      <w:pPr>
        <w:pStyle w:val="Heading2"/>
        <w:spacing w:after="150" w:before="300"/>
      </w:pPr>
      <w:r>
        <w:t xml:space="preserve">Design principles</w:t>
      </w:r>
    </w:p>
    <w:p>
      <w:pPr>
        <w:pStyle w:val="Heading3"/>
        <w:spacing w:after="100" w:before="200"/>
      </w:pPr>
      <w:r>
        <w:t xml:space="preserve">Money and time</w:t>
      </w:r>
    </w:p>
    <w:p>
      <w:pPr>
        <w:spacing w:after="160"/>
      </w:pPr>
      <w:r>
        <w:t xml:space="preserve">DECIMAL(18,4) everywhere a balance or amount is stored — never FLOAT/DOUBLE. DATETIME(6), always UTC, columns suffixed _at_utc; MySQL's TIMESTAMP is deliberately avoided because it silently converts using the session/server time zone.</w:t>
      </w:r>
    </w:p>
    <w:p>
      <w:pPr>
        <w:pStyle w:val="Heading3"/>
        <w:spacing w:after="100" w:before="200"/>
      </w:pPr>
      <w:r>
        <w:t xml:space="preserve">Balance correctness</w:t>
      </w:r>
    </w:p>
    <w:p>
      <w:pPr>
        <w:spacing w:after="160"/>
      </w:pPr>
      <w:r>
        <w:t xml:space="preserve">wallets.real_balance / bonus_balance are a materialised cache, not the source of truth — wallet_transactions (an append-only ledger) is. A balance at any point in time is SUM(credit) − SUM(debit) up to that moment, proven directly by example query (c) below. Corrections and reversals are new rows referencing the original (reversal_of_wallet_txn_id), never edits; every row carries a deterministic idempotency_key so replaying an event can never double-post it. A dbt test (assert_wallet_cache_matches_ledger) fails the build if the cache ever disagrees with the ledger.</w:t>
      </w:r>
    </w:p>
    <w:p>
      <w:pPr>
        <w:pStyle w:val="Heading3"/>
        <w:spacing w:after="100" w:before="200"/>
      </w:pPr>
      <w:r>
        <w:t xml:space="preserve">History over time</w:t>
      </w:r>
    </w:p>
    <w:p>
      <w:pPr>
        <w:spacing w:after="160"/>
      </w:pPr>
      <w:r>
        <w:t xml:space="preserve">player_vip_tier_history and player_tag_history are SCD Type 2 (a new row per change, valid_from/valid_to), so "what tier was this player on 3 September" is answerable, not just "what tier are they now".</w:t>
      </w:r>
    </w:p>
    <w:p>
      <w:pPr>
        <w:pStyle w:val="Heading3"/>
        <w:spacing w:after="100" w:before="200"/>
      </w:pPr>
      <w:r>
        <w:t xml:space="preserve">Protecting personal information</w:t>
      </w:r>
    </w:p>
    <w:p>
      <w:pPr>
        <w:spacing w:after="160"/>
      </w:pPr>
      <w:r>
        <w:t xml:space="preserve">player_identity is a separate table, joined only by player_id — every other table (bets, wallet transactions, bonuses) never sees a name or ID number. In production: application-layer encryption on sensitive fields, a dedicated low-privilege DB role, and every read of the identity table logged.</w:t>
      </w:r>
    </w:p>
    <w:p>
      <w:pPr>
        <w:pStyle w:val="Heading2"/>
        <w:spacing w:after="150" w:before="300"/>
      </w:pPr>
      <w:r>
        <w:t xml:space="preserve">The four required queries — verified output</w:t>
      </w:r>
    </w:p>
    <w:p>
      <w:pPr>
        <w:spacing w:after="160"/>
      </w:pPr>
      <w:r>
        <w:t xml:space="preserve">Run against the seed data in exercise3-schema-design/seed.sql; identical results on MySQL 8.0 and MariaDB 10.11.</w:t>
      </w:r>
    </w:p>
    <w:p>
      <w:pPr>
        <w:spacing w:before="200"/>
        <w:jc w:val="center"/>
      </w:pPr>
      <w:r>
        <w:drawing>
          <wp:inline distT="0" distB="0" distL="0" distR="0">
            <wp:extent cx="5334000" cy="1314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314450"/>
                    </a:xfrm>
                    <a:prstGeom prst="rect">
                      <a:avLst/>
                    </a:prstGeom>
                  </pic:spPr>
                </pic:pic>
              </a:graphicData>
            </a:graphic>
          </wp:inline>
        </w:drawing>
      </w:r>
    </w:p>
    <w:p>
      <w:pPr>
        <w:spacing w:after="300" w:before="80"/>
        <w:jc w:val="center"/>
      </w:pPr>
      <w:r>
        <w:rPr>
          <w:i/>
          <w:iCs/>
          <w:color w:val="595959"/>
          <w:sz w:val="20"/>
          <w:szCs w:val="20"/>
        </w:rPr>
        <w:t xml:space="preserve">mysql -- jsb_platform -- example_queries.sql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sportsbook -160.00 · casino -30.00 · retail 100.00 (NAD)</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-27.78% (matches the dbt mart's independently-computed figure exactly)</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given date/time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Reconstructed purely from the ledger (SUM), not a stored column — proves the design</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later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Self-join on deposit_attempts finds the failed→success pair, 4 minutes apart</w:t>
            </w:r>
          </w:p>
        </w:tc>
      </w:tr>
    </w:tbl>
    <w:p>
      <w:pPr>
        <w:pStyle w:val="Heading2"/>
        <w:spacing w:after="150" w:before="300"/>
      </w:pPr>
      <w:r>
        <w:t xml:space="preserve">Operational design → reporting model</w:t>
      </w:r>
    </w:p>
    <w:p>
      <w:pPr>
        <w:spacing w:after="160"/>
      </w:pPr>
      <w:r>
        <w:t xml:space="preserve">A dbt project (dbt_jsb_assessment/) builds a star schema on top of this operational design: conformed dimensions (dim_player, dim_date, dim_campaign — dim_player_vip_tier_scd carries the same Type-2 history pattern through to the reporting layer) surrounding grain-specific facts (fact_bet, fact_wallet_transaction, fact_bonus_transaction). Two reusable marts answer queries (a) and (b) directly, and — extended during this review — the project now also covers Exercise 1's reconciliation as a scheduled, tested model.</w:t>
      </w:r>
    </w:p>
    <w:p>
      <w:pPr>
        <w:spacing w:before="200"/>
        <w:jc w:val="center"/>
      </w:pPr>
      <w:r>
        <w:drawing>
          <wp:inline distT="0" distB="0" distL="0" distR="0">
            <wp:extent cx="5334000" cy="1390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90650"/>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61/61 pass, 21 models, 40 tests, 0 errors.</w:t>
      </w:r>
    </w:p>
    <w:p>
      <w:pPr>
        <w:pStyle w:val="Heading1"/>
        <w:pageBreakBefore/>
        <w:spacing w:after="200" w:before="400"/>
      </w:pPr>
      <w:r>
        <w:t xml:space="preserve">Power BI — Reporting Data Model and Report</w:t>
      </w:r>
    </w:p>
    <w:p>
      <w:pPr>
        <w:spacing w:after="160"/>
      </w:pPr>
      <w:r>
        <w:rPr>
          <w:i/>
          <w:iCs/>
          <w:color w:val="595959"/>
          <w:sz w:val="20"/>
          <w:szCs w:val="20"/>
        </w:rPr>
        <w:t xml:space="preserve">Tools used: Power BI project format (.pbip), generated by a Python script from one set of definitions, loading the dbt marts from CSV.</w:t>
      </w:r>
    </w:p>
    <w:p>
      <w:pPr>
        <w:spacing w:after="160"/>
      </w:pPr>
      <w:r>
        <w:t xml:space="preserve">The dbt marts become a Power BI project, JSB_Assessment.pbip. It holds the semantic model (7 tables, 7 relationships, 10 DAX measures) and a two-page report, and loads from CSV, so no database connection is needed. The same script writes the model, the report pages, the readable DAX file and a list of expected values, then validates them, so the four cannot drift apart.</w:t>
      </w:r>
    </w:p>
    <w:p>
      <w:pPr>
        <w:spacing w:before="200"/>
        <w:jc w:val="center"/>
      </w:pPr>
      <w:r>
        <w:drawing>
          <wp:inline distT="0" distB="0" distL="0" distR="0">
            <wp:extent cx="5715000" cy="31718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71825"/>
                    </a:xfrm>
                    <a:prstGeom prst="rect">
                      <a:avLst/>
                    </a:prstGeom>
                  </pic:spPr>
                </pic:pic>
              </a:graphicData>
            </a:graphic>
          </wp:inline>
        </w:drawing>
      </w:r>
    </w:p>
    <w:p>
      <w:pPr>
        <w:spacing w:after="300" w:before="80"/>
        <w:jc w:val="center"/>
      </w:pPr>
      <w:r>
        <w:rPr>
          <w:i/>
          <w:iCs/>
          <w:color w:val="595959"/>
          <w:sz w:val="20"/>
          <w:szCs w:val="20"/>
        </w:rPr>
        <w:t xml:space="preserve">Power BI model view: three dimensions filter three facts. Facts are not joined to each other.</w:t>
      </w:r>
    </w:p>
    <w:p>
      <w:pPr>
        <w:pStyle w:val="Heading2"/>
        <w:spacing w:after="150" w:before="300"/>
      </w:pPr>
      <w:r>
        <w:t xml:space="preserve">Two modelling decisions worth calling out</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Heading2"/>
        <w:spacing w:after="150" w:before="300"/>
      </w:pPr>
      <w:r>
        <w:t xml:space="preserve">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63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000"/>
            <w:tcMar>
              <w:top w:type="dxa" w:w="60"/>
              <w:left w:type="dxa" w:w="100"/>
              <w:bottom w:type="dxa" w:w="60"/>
              <w:right w:type="dxa" w:w="100"/>
            </w:tcMar>
            <w:vAlign w:val="center"/>
          </w:tcPr>
          <w:p>
            <w:pPr>
              <w:jc w:val="left"/>
            </w:pPr>
            <w:r>
              <w:rPr>
                <w:b w:val="false"/>
                <w:bCs w:val="false"/>
                <w:sz w:val="19"/>
                <w:szCs w:val="19"/>
              </w:rPr>
              <w:t xml:space="preserve">GGR</w:t>
            </w:r>
          </w:p>
        </w:tc>
        <w:tc>
          <w:tcPr>
            <w:tcW w:type="dxa" w:w="63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0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6360"/>
            <w:shd w:fill="EEF3F8" w:val="clear"/>
            <w:tcMar>
              <w:top w:type="dxa" w:w="60"/>
              <w:left w:type="dxa" w:w="100"/>
              <w:bottom w:type="dxa" w:w="60"/>
              <w:right w:type="dxa" w:w="100"/>
            </w:tcMar>
            <w:vAlign w:val="center"/>
          </w:tcPr>
          <w:p>
            <w:pPr>
              <w:jc w:val="left"/>
            </w:pPr>
            <w:r>
              <w:rPr>
                <w:b w:val="false"/>
                <w:bCs w:val="false"/>
                <w:sz w:val="19"/>
                <w:szCs w:val="19"/>
              </w:rPr>
              <w:t xml:space="preserve">Bonus money staked on bets that lost</w:t>
            </w:r>
          </w:p>
        </w:tc>
      </w:tr>
      <w:tr>
        <w:trPr>
          <w:cantSplit/>
        </w:trPr>
        <w:tc>
          <w:tcPr>
            <w:tcW w:type="dxa" w:w="3000"/>
            <w:tcMar>
              <w:top w:type="dxa" w:w="60"/>
              <w:left w:type="dxa" w:w="100"/>
              <w:bottom w:type="dxa" w:w="60"/>
              <w:right w:type="dxa" w:w="100"/>
            </w:tcMar>
            <w:vAlign w:val="center"/>
          </w:tcPr>
          <w:p>
            <w:pPr>
              <w:jc w:val="left"/>
            </w:pPr>
            <w:r>
              <w:rPr>
                <w:b w:val="false"/>
                <w:bCs w:val="false"/>
                <w:sz w:val="19"/>
                <w:szCs w:val="19"/>
              </w:rPr>
              <w:t xml:space="preserve">NGR</w:t>
            </w:r>
          </w:p>
        </w:tc>
        <w:tc>
          <w:tcPr>
            <w:tcW w:type="dxa" w:w="63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0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w:t>
            </w:r>
          </w:p>
        </w:tc>
        <w:tc>
          <w:tcPr>
            <w:tcW w:type="dxa" w:w="63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bonuses that completed, expired or were forfeited</w:t>
            </w:r>
          </w:p>
        </w:tc>
      </w:tr>
      <w:tr>
        <w:trPr>
          <w:cantSplit/>
        </w:trPr>
        <w:tc>
          <w:tcPr>
            <w:tcW w:type="dxa" w:w="3000"/>
            <w:tcMar>
              <w:top w:type="dxa" w:w="60"/>
              <w:left w:type="dxa" w:w="100"/>
              <w:bottom w:type="dxa" w:w="60"/>
              <w:right w:type="dxa" w:w="100"/>
            </w:tcMar>
            <w:vAlign w:val="center"/>
          </w:tcPr>
          <w:p>
            <w:pPr>
              <w:jc w:val="left"/>
            </w:pPr>
            <w:r>
              <w:rPr>
                <w:b w:val="false"/>
                <w:bCs w:val="false"/>
                <w:sz w:val="19"/>
                <w:szCs w:val="19"/>
              </w:rPr>
              <w:t xml:space="preserve">Campaign Bonus Cost % of NGR</w:t>
            </w:r>
          </w:p>
        </w:tc>
        <w:tc>
          <w:tcPr>
            <w:tcW w:type="dxa" w:w="6360"/>
            <w:tcMar>
              <w:top w:type="dxa" w:w="60"/>
              <w:left w:type="dxa" w:w="100"/>
              <w:bottom w:type="dxa" w:w="60"/>
              <w:right w:type="dxa" w:w="100"/>
            </w:tcMar>
            <w:vAlign w:val="center"/>
          </w:tcPr>
          <w:p>
            <w:pPr>
              <w:jc w:val="left"/>
            </w:pPr>
            <w:r>
              <w:rPr>
                <w:b w:val="false"/>
                <w:bCs w:val="false"/>
                <w:sz w:val="19"/>
                <w:szCs w:val="19"/>
              </w:rPr>
              <w:t xml:space="preserve">Campaign Bonus Cost ÷ total NGR — query (b)</w:t>
            </w:r>
          </w:p>
        </w:tc>
      </w:tr>
      <w:tr>
        <w:trPr>
          <w:cantSplit/>
        </w:trPr>
        <w:tc>
          <w:tcPr>
            <w:tcW w:type="dxa" w:w="3000"/>
            <w:shd w:fill="EEF3F8" w:val="clear"/>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6360"/>
            <w:shd w:fill="EEF3F8" w:val="clear"/>
            <w:tcMar>
              <w:top w:type="dxa" w:w="60"/>
              <w:left w:type="dxa" w:w="100"/>
              <w:bottom w:type="dxa" w:w="60"/>
              <w:right w:type="dxa" w:w="100"/>
            </w:tcMar>
            <w:vAlign w:val="center"/>
          </w:tcPr>
          <w:p>
            <w:pPr>
              <w:jc w:val="left"/>
            </w:pPr>
            <w:r>
              <w:rPr>
                <w:b w:val="false"/>
                <w:bCs w:val="false"/>
                <w:sz w:val="19"/>
                <w:szCs w:val="19"/>
              </w:rPr>
              <w:t xml:space="preserve">Granted amount of bonuses still active: owed, not yet a cost</w:t>
            </w:r>
          </w:p>
        </w:tc>
      </w:tr>
      <w:tr>
        <w:trPr>
          <w:cantSplit/>
        </w:trPr>
        <w:tc>
          <w:tcPr>
            <w:tcW w:type="dxa" w:w="3000"/>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6360"/>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000"/>
            <w:shd w:fill="EEF3F8" w:val="clear"/>
            <w:tcMar>
              <w:top w:type="dxa" w:w="60"/>
              <w:left w:type="dxa" w:w="100"/>
              <w:bottom w:type="dxa" w:w="60"/>
              <w:right w:type="dxa" w:w="100"/>
            </w:tcMar>
            <w:vAlign w:val="center"/>
          </w:tcPr>
          <w:p>
            <w:pPr>
              <w:jc w:val="left"/>
            </w:pPr>
            <w:r>
              <w:rPr>
                <w:b w:val="false"/>
                <w:bCs w:val="false"/>
                <w:sz w:val="19"/>
                <w:szCs w:val="19"/>
              </w:rPr>
              <w:t xml:space="preserve">Deposits</w:t>
            </w:r>
          </w:p>
        </w:tc>
        <w:tc>
          <w:tcPr>
            <w:tcW w:type="dxa" w:w="6360"/>
            <w:shd w:fill="EEF3F8" w:val="clear"/>
            <w:tcMar>
              <w:top w:type="dxa" w:w="60"/>
              <w:left w:type="dxa" w:w="100"/>
              <w:bottom w:type="dxa" w:w="60"/>
              <w:right w:type="dxa" w:w="100"/>
            </w:tcMar>
            <w:vAlign w:val="center"/>
          </w:tcPr>
          <w:p>
            <w:pPr>
              <w:jc w:val="left"/>
            </w:pPr>
            <w:r>
              <w:rPr>
                <w:b w:val="false"/>
                <w:bCs w:val="false"/>
                <w:sz w:val="19"/>
                <w:szCs w:val="19"/>
              </w:rPr>
              <w:t xml:space="preserve">Sum of deposit movements in the ledger</w:t>
            </w:r>
          </w:p>
        </w:tc>
      </w:tr>
    </w:tbl>
    <w:p>
      <w:pPr>
        <w:pStyle w:val="Heading2"/>
        <w:spacing w:after="150" w:before="300"/>
      </w:pPr>
      <w:r>
        <w:t xml:space="preserve">Report pages and expected values</w:t>
      </w:r>
    </w:p>
    <w:p>
      <w:pPr>
        <w:spacing w:after="160"/>
      </w:pPr>
      <w:r>
        <w:t xml:space="preserve">Page 1, NGR overview: four cards, GGR vs NGR by product, and a campaign table. Page 2, Player balances: a date slicer, deposits, and each player's balance from the ledger. Each value below was computed from the CSVs with pandas, independently of the DAX, and matches the MySQL, MariaDB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-70.00 / 20.00 / -90.00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sportsbook -160.00 · casino -30.00 · retail 100.00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25.00 / -27.78%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Player 1: 1,190.00 · Player 2: 400.00 · Player 3: 100.00 real + 30.00 bonus</w:t>
            </w:r>
          </w:p>
        </w:tc>
      </w:tr>
    </w:tbl>
    <w:p>
      <w:pPr>
        <w:pStyle w:val="Heading2"/>
        <w:spacing w:after="150" w:before="300"/>
      </w:pPr>
      <w:r>
        <w:t xml:space="preserve">How it was verified</w:t>
      </w:r>
    </w:p>
    <w:p>
      <w:pPr>
        <w:spacing w:after="160"/>
      </w:pPr>
      <w:r>
        <w:t xml:space="preserve">Power BI Desktop doesn't run in the Linux environment this was built in, so the project was not opened in Power BI there. Instead, the build script checks that every visual field and every DAX reference resolves to the model, that every relationship column exists, and that no filter path is ambiguous. A negative test confirmed it rejects an ambiguous relationship and a misspelled measure. The report layout follows the supplied Demo.pbix (Power BI Desktop 2.130, CY24SU06 theme). If Desktop objects to the project file, powerbi/README.md gives a five-minute manual route to build the same model in Demo.pbix.</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1d32476ff6819d2b5f19f571cd8d3e0a6a3c60.png"/><Relationship Id="rId10" Type="http://schemas.openxmlformats.org/officeDocument/2006/relationships/image" Target="media/56653963497af00fd40365aeec5d3b9bc606eab2.png"/><Relationship Id="rId11" Type="http://schemas.openxmlformats.org/officeDocument/2006/relationships/image" Target="media/08c58c085ee4cbb2bbc26fc406d6b7076867c36c.png"/><Relationship Id="rId12" Type="http://schemas.openxmlformats.org/officeDocument/2006/relationships/image" Target="media/6d89d9e329f98d50be96fdb91ddad135d770bbe1.png"/><Relationship Id="rId13" Type="http://schemas.openxmlformats.org/officeDocument/2006/relationships/image" Target="media/53a72257a419195c2d97576756b95b087abbfd40.png"/><Relationship Id="rId14" Type="http://schemas.openxmlformats.org/officeDocument/2006/relationships/image" Target="media/453dd104a204b746061d811de5059b590a9ba1cf.png"/><Relationship Id="rId15" Type="http://schemas.openxmlformats.org/officeDocument/2006/relationships/image" Target="media/9b839846d33c8692235386e4fec6c859cecb4fc3.png"/><Relationship Id="rId16" Type="http://schemas.openxmlformats.org/officeDocument/2006/relationships/image" Target="media/9f85b9b2a2d523c3dc36760691fc9bcc51df3cd1.png"/><Relationship Id="rId17" Type="http://schemas.openxmlformats.org/officeDocument/2006/relationships/image" Target="media/50490fcbe36b79bda675d8b49b1ea838a4b25985.png"/><Relationship Id="rId18" Type="http://schemas.openxmlformats.org/officeDocument/2006/relationships/image" Target="media/640bb042f79c13c70ad4958eee662ce7e7f08f92.png"/><Relationship Id="rId19" Type="http://schemas.openxmlformats.org/officeDocument/2006/relationships/image" Target="media/6c7a82b17e6e8404f3f4ee3d1854b527a509293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2026-09-28T14:48:11.623Z</dcterms:created>
  <dcterms:modified xsi:type="dcterms:W3CDTF">2026-09-28T14:48:11.623Z</dcterms:modified>
</cp:coreProperties>
</file>

<file path=docProps/custom.xml><?xml version="1.0" encoding="utf-8"?>
<Properties xmlns="http://schemas.openxmlformats.org/officeDocument/2006/custom-properties" xmlns:vt="http://schemas.openxmlformats.org/officeDocument/2006/docPropsVTypes"/>
</file>