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shd w:val="clear" w:color="auto" w:fill="14443B"/>
      </w:pPr>
      <w:r>
        <w:rPr>
          <w:rFonts w:ascii="Calibri" w:hAnsi="Calibri"/>
          <w:b/>
          <w:color w:val="FFFFFF"/>
          <w:sz w:val="32"/>
        </w:rPr>
        <w:t xml:space="preserve">  ANTHONY APOLLIS</w:t>
      </w:r>
      <w:r>
        <w:rPr>
          <w:rFonts w:ascii="Calibri" w:hAnsi="Calibri"/>
          <w:color w:val="EAF6F3"/>
          <w:sz w:val="22"/>
        </w:rPr>
        <w:t xml:space="preserve">   |   Data Engineer &amp; ML Practitioner</w:t>
      </w:r>
    </w:p>
    <w:p>
      <w:pPr>
        <w:spacing w:before="40" w:after="160"/>
        <w:shd w:val="clear" w:color="auto" w:fill="14443B"/>
      </w:pPr>
      <w:r>
        <w:rPr>
          <w:rFonts w:ascii="Calibri" w:hAnsi="Calibri"/>
          <w:color w:val="EAF6F3"/>
          <w:sz w:val="19"/>
        </w:rPr>
        <w:t xml:space="preserve">  anthony.apollis@gmail.com   |   github.com/anthonyapollis   |   Cape Town, South Africa</w:t>
      </w:r>
    </w:p>
    <w:p>
      <w:pPr>
        <w:spacing w:before="40" w:after="40"/>
        <w:pBdr>
          <w:bottom w:val="single" w:sz="6" w:space="1" w:color="F7941D"/>
        </w:pBdr>
      </w:pPr>
    </w:p>
    <w:p>
      <w:pPr>
        <w:spacing w:before="200" w:after="0"/>
      </w:pPr>
      <w:r>
        <w:rPr>
          <w:rFonts w:ascii="Calibri" w:hAnsi="Calibri"/>
          <w:color w:val="606060"/>
          <w:sz w:val="20"/>
        </w:rPr>
        <w:t>25 June 2026</w:t>
      </w:r>
    </w:p>
    <w:p>
      <w:pPr>
        <w:spacing w:before="0" w:after="0"/>
      </w:pPr>
      <w:r>
        <w:rPr>
          <w:rFonts w:ascii="Calibri" w:hAnsi="Calibri"/>
          <w:color w:val="1A1A1A"/>
          <w:sz w:val="22"/>
        </w:rPr>
        <w:t>The Hiring Manager</w:t>
      </w:r>
    </w:p>
    <w:p>
      <w:pPr>
        <w:spacing w:before="0" w:after="0"/>
      </w:pPr>
      <w:r>
        <w:rPr>
          <w:rFonts w:ascii="Calibri" w:hAnsi="Calibri"/>
          <w:color w:val="1A1A1A"/>
          <w:sz w:val="22"/>
        </w:rPr>
        <w:t>Globeleq Management Services</w:t>
      </w:r>
    </w:p>
    <w:p>
      <w:pPr>
        <w:spacing w:before="0" w:after="0"/>
      </w:pPr>
      <w:r>
        <w:rPr>
          <w:rFonts w:ascii="Calibri" w:hAnsi="Calibri"/>
          <w:i/>
          <w:color w:val="404040"/>
          <w:sz w:val="22"/>
        </w:rPr>
        <w:t>Associate BI Specialist — South Africa</w:t>
      </w:r>
    </w:p>
    <w:p>
      <w:pPr>
        <w:spacing w:after="80"/>
      </w:pPr>
    </w:p>
    <w:p>
      <w:pPr>
        <w:spacing w:before="40" w:after="200"/>
      </w:pPr>
      <w:r>
        <w:rPr>
          <w:rFonts w:ascii="Calibri" w:hAnsi="Calibri"/>
          <w:b/>
          <w:color w:val="14443B"/>
          <w:sz w:val="22"/>
        </w:rPr>
        <w:t xml:space="preserve">Subject: </w:t>
      </w:r>
      <w:r>
        <w:rPr>
          <w:rFonts w:ascii="Calibri" w:hAnsi="Calibri"/>
          <w:b/>
          <w:color w:val="1A1A1A"/>
          <w:sz w:val="22"/>
        </w:rPr>
        <w:t>Application — Associate BI Specialist | Globeleq Energy Intelligence Platform Portfolio</w:t>
      </w:r>
    </w:p>
    <w:p>
      <w:pPr>
        <w:spacing w:before="0" w:after="160"/>
        <w:jc w:val="both"/>
      </w:pPr>
      <w:r>
        <w:rPr>
          <w:rFonts w:ascii="Calibri" w:hAnsi="Calibri"/>
          <w:i w:val="0"/>
          <w:color w:val="1A1A1A"/>
          <w:sz w:val="22"/>
        </w:rPr>
        <w:t>Dear Hiring Manager,</w:t>
      </w:r>
    </w:p>
    <w:p>
      <w:pPr>
        <w:spacing w:before="0" w:after="200"/>
        <w:jc w:val="both"/>
      </w:pPr>
      <w:r>
        <w:rPr>
          <w:rFonts w:ascii="Calibri" w:hAnsi="Calibri"/>
          <w:i w:val="0"/>
          <w:color w:val="1A1A1A"/>
          <w:sz w:val="22"/>
        </w:rPr>
        <w:t>Please find attached my application for the Associate BI Specialist position at Globeleq. To demonstrate applied competency across the Globeleq operating environment — African IPP power plants, SCADA telemetry, PPA commercial structures, maintenance reliability, and ESG reporting — I built a full end-to-end data engineering and ML intelligence platform using Globeleq's own portfolio as the domain. The full source code is available for review at: https://github.com/anthonyapollis/globeleq-energy-intelligence-platform</w:t>
      </w:r>
    </w:p>
    <w:p>
      <w:pPr>
        <w:spacing w:before="280" w:after="80"/>
      </w:pPr>
      <w:r>
        <w:rPr>
          <w:rFonts w:ascii="Calibri" w:hAnsi="Calibri"/>
          <w:b/>
          <w:color w:val="14443B"/>
          <w:sz w:val="24"/>
        </w:rPr>
        <w:t>What I Built</w:t>
      </w:r>
    </w:p>
    <w:p>
      <w:pPr>
        <w:spacing w:before="0" w:after="160"/>
        <w:jc w:val="both"/>
      </w:pPr>
      <w:r>
        <w:rPr>
          <w:rFonts w:ascii="Calibri" w:hAnsi="Calibri"/>
          <w:i w:val="0"/>
          <w:color w:val="1A1A1A"/>
          <w:sz w:val="22"/>
        </w:rPr>
        <w:t>A production-grade Azure Databricks data platform ingesting synthetic SCADA telemetry from 17 operating plants (1,794 MW) and 2 under-construction plants (485 MW) across 7 African countries, covering the period 2020 to 2024.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860"/>
      </w:tblGrid>
      <w:tr>
        <w:tc>
          <w:tcPr>
            <w:tcW w:type="dxa" w:w="3118"/>
            <w:shd w:val="clear" w:color="auto" w:fill="14443B"/>
            <w:tcBorders>
              <w:top w:val="single" w:sz="4" w:space="0" w:color="14443B"/>
              <w:left w:val="single" w:sz="4" w:space="0" w:color="14443B"/>
              <w:bottom w:val="single" w:sz="4" w:space="0" w:color="14443B"/>
              <w:right w:val="single" w:sz="4" w:space="0" w:color="14443B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6860"/>
            <w:shd w:val="clear" w:color="auto" w:fill="14443B"/>
            <w:tcBorders>
              <w:top w:val="single" w:sz="4" w:space="0" w:color="14443B"/>
              <w:left w:val="single" w:sz="4" w:space="0" w:color="14443B"/>
              <w:bottom w:val="single" w:sz="4" w:space="0" w:color="14443B"/>
              <w:right w:val="single" w:sz="4" w:space="0" w:color="14443B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18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Azure Databricks Medallion Pipeline</w:t>
            </w:r>
          </w:p>
        </w:tc>
        <w:tc>
          <w:tcPr>
            <w:tcW w:type="dxa" w:w="6860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Bronze ingest → Silver cleanse (imputation, outlier detection) → Gold KPIs across 4 PySpark notebooks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Azure Data Factory Pipeline</w:t>
            </w:r>
          </w:p>
        </w:tc>
        <w:tc>
          <w:tcPr>
            <w:tcW w:type="dxa" w:w="6860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ForEach activity (batchCount=4, 8 fact tables), IfCondition ML gate, WebActivity for Teams alert + Power BI dataset refresh, daily 02:00 SAST trigger</w:t>
            </w:r>
          </w:p>
        </w:tc>
      </w:tr>
      <w:tr>
        <w:tc>
          <w:tcPr>
            <w:tcW w:type="dxa" w:w="3118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SQL Server Data Warehouse</w:t>
            </w:r>
          </w:p>
        </w:tc>
        <w:tc>
          <w:tcPr>
            <w:tcW w:type="dxa" w:w="6860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22 tables across dw + bi schemas; 12 core + 10 V2 tables including FactMeterReadingHourly (raw/clean/quality split) and FactDataQualityEvent (immutable audit log)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SCADA Dataset</w:t>
            </w:r>
          </w:p>
        </w:tc>
        <w:tc>
          <w:tcPr>
            <w:tcW w:type="dxa" w:w="6860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3,024,807 rows total; 2,981,664 rows 15-min telemetry (17 plants × 5 years × 96 intervals/day)</w:t>
            </w:r>
          </w:p>
        </w:tc>
      </w:tr>
      <w:tr>
        <w:tc>
          <w:tcPr>
            <w:tcW w:type="dxa" w:w="3118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Dirty Data Layer</w:t>
            </w:r>
          </w:p>
        </w:tc>
        <w:tc>
          <w:tcPr>
            <w:tcW w:type="dxa" w:w="6860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35 realistic data quality patterns injected: 57,176 null sensor dropouts, 4,472 fault-code 999.9 readings, 5,366 out-of-range power values, 8,944 duplicate rows — Silver notebook cleans all with full audit trail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Power BI</w:t>
            </w:r>
          </w:p>
        </w:tc>
        <w:tc>
          <w:tcPr>
            <w:tcW w:type="dxa" w:w="6860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111 DAX measures across 9 report pages: Executive Overview, Control Room, Forecast Operations, Model Scorecard, Meter Data Quality, Weather-Normalised Performance, Maintenance &amp; Reliability, Construction Portfolio, ESG &amp; HSE</w:t>
            </w:r>
          </w:p>
        </w:tc>
      </w:tr>
      <w:tr>
        <w:tc>
          <w:tcPr>
            <w:tcW w:type="dxa" w:w="3118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Excel Report</w:t>
            </w:r>
          </w:p>
        </w:tc>
        <w:tc>
          <w:tcPr>
            <w:tcW w:type="dxa" w:w="6860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8-sheet workbook with BarChart, LineChart, PieChart, conditional formatting — attached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HTML Ebook</w:t>
            </w:r>
          </w:p>
        </w:tc>
        <w:tc>
          <w:tcPr>
            <w:tcW w:type="dxa" w:w="6860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8-chapter technical walkthrough with Chart.js visualisations — attached (open in any browser)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4443B"/>
          <w:sz w:val="24"/>
        </w:rPr>
        <w:t>Machine Learning Results</w:t>
      </w:r>
    </w:p>
    <w:p>
      <w:pPr>
        <w:spacing w:before="0" w:after="120"/>
        <w:jc w:val="both"/>
      </w:pPr>
      <w:r>
        <w:rPr>
          <w:rFonts w:ascii="Calibri" w:hAnsi="Calibri"/>
          <w:i w:val="0"/>
          <w:color w:val="1A1A1A"/>
          <w:sz w:val="22"/>
        </w:rPr>
        <w:t>8 models registered in MLflow across two tiers: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551"/>
        <w:gridCol w:w="4592"/>
      </w:tblGrid>
      <w:tr>
        <w:tc>
          <w:tcPr>
            <w:tcW w:type="dxa" w:w="2835"/>
            <w:shd w:val="clear" w:color="auto" w:fill="14443B"/>
            <w:tcBorders>
              <w:top w:val="single" w:sz="4" w:space="0" w:color="14443B"/>
              <w:left w:val="single" w:sz="4" w:space="0" w:color="14443B"/>
              <w:bottom w:val="single" w:sz="4" w:space="0" w:color="14443B"/>
              <w:right w:val="single" w:sz="4" w:space="0" w:color="14443B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2551"/>
            <w:shd w:val="clear" w:color="auto" w:fill="14443B"/>
            <w:tcBorders>
              <w:top w:val="single" w:sz="4" w:space="0" w:color="14443B"/>
              <w:left w:val="single" w:sz="4" w:space="0" w:color="14443B"/>
              <w:bottom w:val="single" w:sz="4" w:space="0" w:color="14443B"/>
              <w:right w:val="single" w:sz="4" w:space="0" w:color="14443B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Algorithm</w:t>
            </w:r>
          </w:p>
        </w:tc>
        <w:tc>
          <w:tcPr>
            <w:tcW w:type="dxa" w:w="4592"/>
            <w:shd w:val="clear" w:color="auto" w:fill="14443B"/>
            <w:tcBorders>
              <w:top w:val="single" w:sz="4" w:space="0" w:color="14443B"/>
              <w:left w:val="single" w:sz="4" w:space="0" w:color="14443B"/>
              <w:bottom w:val="single" w:sz="4" w:space="0" w:color="14443B"/>
              <w:right w:val="single" w:sz="4" w:space="0" w:color="14443B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835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Energy Yield Forecaster</w:t>
            </w:r>
          </w:p>
        </w:tc>
        <w:tc>
          <w:tcPr>
            <w:tcW w:type="dxa" w:w="2551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XGBoost Regressor</w:t>
            </w:r>
          </w:p>
        </w:tc>
        <w:tc>
          <w:tcPr>
            <w:tcW w:type="dxa" w:w="4592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R²=0.94, MAE=18 MWh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Forced Outage Predictor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LightGBM Classifier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AUC=0.82, AP=0.61 (scale_pos_weight handles 11× class imbalance; threshold at 0.35 for recall)</w:t>
            </w:r>
          </w:p>
        </w:tc>
      </w:tr>
      <w:tr>
        <w:tc>
          <w:tcPr>
            <w:tcW w:type="dxa" w:w="2835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Maintenance Cost Estimator</w:t>
            </w:r>
          </w:p>
        </w:tc>
        <w:tc>
          <w:tcPr>
            <w:tcW w:type="dxa" w:w="2551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Random Forest</w:t>
            </w:r>
          </w:p>
        </w:tc>
        <w:tc>
          <w:tcPr>
            <w:tcW w:type="dxa" w:w="4592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R²=0.89, OOB score=0.87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Curtailment Anomaly Detector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Isolation Forest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5% anomaly rate, contamination=0.05</w:t>
            </w:r>
          </w:p>
        </w:tc>
      </w:tr>
      <w:tr>
        <w:tc>
          <w:tcPr>
            <w:tcW w:type="dxa" w:w="2835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Portfolio Revenue Forecaster</w:t>
            </w:r>
          </w:p>
        </w:tc>
        <w:tc>
          <w:tcPr>
            <w:tcW w:type="dxa" w:w="2551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LightGBM Regressor</w:t>
            </w:r>
          </w:p>
        </w:tc>
        <w:tc>
          <w:tcPr>
            <w:tcW w:type="dxa" w:w="4592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R²=0.93, MAPE=3.1%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Weekly Seasonal Profile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Seasonal Decomposition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Baseline forecasting model</w:t>
            </w:r>
          </w:p>
        </w:tc>
      </w:tr>
      <w:tr>
        <w:tc>
          <w:tcPr>
            <w:tcW w:type="dxa" w:w="2835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Robust Dynamic Regression</w:t>
            </w:r>
          </w:p>
        </w:tc>
        <w:tc>
          <w:tcPr>
            <w:tcW w:type="dxa" w:w="2551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MM-Estimator Regression</w:t>
            </w:r>
          </w:p>
        </w:tc>
        <w:tc>
          <w:tcPr>
            <w:tcW w:type="dxa" w:w="4592"/>
            <w:shd w:val="clear" w:color="auto" w:fill="EAF6F3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Challenger model (outlier-robust training)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Technology-Aware Weather GBM ★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Gradient Boosting</w:t>
            </w:r>
          </w:p>
        </w:tc>
        <w:tc>
          <w:tcPr>
            <w:tcW w:type="dxa" w:w="4592"/>
            <w:shd w:val="clear" w:color="auto" w:fill="FFFFFF"/>
            <w:tcBorders>
              <w:top w:val="single" w:sz="4" w:space="0" w:color="C8E8E1"/>
              <w:left w:val="single" w:sz="4" w:space="0" w:color="C8E8E1"/>
              <w:bottom w:val="single" w:sz="4" w:space="0" w:color="C8E8E1"/>
              <w:right w:val="single" w:sz="4" w:space="0" w:color="C8E8E1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SELECTED — lowest RMSE; tech-specific features: GHI (solar), wind speed + air density (wind), dispatch + heat rate (gas)</w:t>
            </w:r>
          </w:p>
        </w:tc>
      </w:tr>
    </w:tbl>
    <w:p>
      <w:pPr>
        <w:spacing w:after="40"/>
      </w:pPr>
    </w:p>
    <w:p>
      <w:pPr>
        <w:spacing w:before="0" w:after="200"/>
        <w:jc w:val="both"/>
      </w:pPr>
      <w:r>
        <w:rPr>
          <w:rFonts w:ascii="Calibri" w:hAnsi="Calibri"/>
          <w:i/>
          <w:color w:val="505050"/>
          <w:sz w:val="22"/>
        </w:rPr>
        <w:t>Model selection uses lowest validation RMSE with absolute total forecast bias as tie-breaker. MAPE is stored and reported but is not used as the primary selection metric — it is unreliable for solar night-time and other near-zero readings.</w:t>
      </w:r>
    </w:p>
    <w:p>
      <w:pPr>
        <w:spacing w:before="280" w:after="80"/>
      </w:pPr>
      <w:r>
        <w:rPr>
          <w:rFonts w:ascii="Calibri" w:hAnsi="Calibri"/>
          <w:b/>
          <w:color w:val="14443B"/>
          <w:sz w:val="24"/>
        </w:rPr>
        <w:t>Key Business Insights from the Data</w:t>
      </w:r>
    </w:p>
    <w:p>
      <w:pPr>
        <w:spacing w:before="40" w:after="80"/>
        <w:ind w:left="283"/>
        <w:jc w:val="both"/>
      </w:pPr>
      <w:r>
        <w:rPr>
          <w:rFonts w:ascii="Calibri" w:hAnsi="Calibri"/>
          <w:b/>
          <w:color w:val="14443B"/>
          <w:sz w:val="22"/>
        </w:rPr>
        <w:t xml:space="preserve">Natural Gas concentration risk: </w:t>
      </w:r>
      <w:r>
        <w:rPr>
          <w:rFonts w:ascii="Calibri" w:hAnsi="Calibri"/>
          <w:color w:val="1A1A1A"/>
          <w:sz w:val="22"/>
        </w:rPr>
        <w:t>Azito Power (713 MW, Côte d’Ivoire) generates 24.4 TWh — 52% of the entire portfolio. Gas plants run at 69.3% availability vs 92%+ for solar and wind. A 1% availability improvement on Azito alone is worth an estimated R4.3M in additional annual revenue at current PPA tariff rates.</w:t>
      </w:r>
    </w:p>
    <w:p>
      <w:pPr>
        <w:spacing w:before="40" w:after="80"/>
        <w:ind w:left="283"/>
        <w:jc w:val="both"/>
      </w:pPr>
      <w:r>
        <w:rPr>
          <w:rFonts w:ascii="Calibri" w:hAnsi="Calibri"/>
          <w:b/>
          <w:color w:val="14443B"/>
          <w:sz w:val="22"/>
        </w:rPr>
        <w:t xml:space="preserve">Forced outage trend: </w:t>
      </w:r>
      <w:r>
        <w:rPr>
          <w:rFonts w:ascii="Calibri" w:hAnsi="Calibri"/>
          <w:color w:val="1A1A1A"/>
          <w:sz w:val="22"/>
        </w:rPr>
        <w:t>Outages declined 2020→2023 (129 to 96) then reversed to 128 in 2024 — a classic maintenance backlog signal. The Forced Outage Predictor identifies the 7-day precursor window, enabling pre-emptive intervention before generation loss occurs.</w:t>
      </w:r>
    </w:p>
    <w:p>
      <w:pPr>
        <w:spacing w:before="40" w:after="80"/>
        <w:ind w:left="283"/>
        <w:jc w:val="both"/>
      </w:pPr>
      <w:r>
        <w:rPr>
          <w:rFonts w:ascii="Calibri" w:hAnsi="Calibri"/>
          <w:b/>
          <w:color w:val="14443B"/>
          <w:sz w:val="22"/>
        </w:rPr>
        <w:t xml:space="preserve">ESG positioning: </w:t>
      </w:r>
      <w:r>
        <w:rPr>
          <w:rFonts w:ascii="Calibri" w:hAnsi="Calibri"/>
          <w:color w:val="1A1A1A"/>
          <w:sz w:val="22"/>
        </w:rPr>
        <w:t>5.02 Mt CO₂e avoided over 5 years. Portfolio Scope 1 intensity is 406 tCO₂e/GWh from gas. The Menengai Geothermal plant (35 MW, Kenya) brings this down meaningfully — geothermal runs at ~50 tCO₂e/GWh — directly relevant to BII and Norfund sustainability KPIs.</w:t>
      </w:r>
    </w:p>
    <w:p>
      <w:pPr>
        <w:spacing w:before="40" w:after="80"/>
        <w:ind w:left="283"/>
        <w:jc w:val="both"/>
      </w:pPr>
      <w:r>
        <w:rPr>
          <w:rFonts w:ascii="Calibri" w:hAnsi="Calibri"/>
          <w:b/>
          <w:color w:val="14443B"/>
          <w:sz w:val="22"/>
        </w:rPr>
        <w:t xml:space="preserve">Settlement collection quality: </w:t>
      </w:r>
      <w:r>
        <w:rPr>
          <w:rFonts w:ascii="Calibri" w:hAnsi="Calibri"/>
          <w:color w:val="1A1A1A"/>
          <w:sz w:val="22"/>
        </w:rPr>
        <w:t>Revenue averaging R139M/year is flat (PPA structure), but collection percentage anomalies in the energy sales data flag a real cash-flow risk that the Meter Data Quality dashboard surfaces automatically, with every event logged in FactDataQualityEvent for audit.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4443B"/>
          <w:sz w:val="24"/>
        </w:rPr>
        <w:t>Attachments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1A1A1A"/>
          <w:sz w:val="22"/>
        </w:rPr>
        <w:t>Globeleq_Energy_Intelligence_Report.xlsx — 8-sheet Excel workbook: Portfolio KPIs, Plant Performance, Technology Mix, Revenue Analysis, Reliability, HSE Dashboard, ML Results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1A1A1A"/>
          <w:sz w:val="22"/>
        </w:rPr>
        <w:t>globeleq_energy_intelligence_ebook.html — 8-chapter technical ebook with Chart.js visualisations (open in any browser)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1A1A1A"/>
          <w:sz w:val="22"/>
        </w:rPr>
        <w:t>Azure Data Factory pipeline screenshot — pl_globeleq_daily_energy_intelligence (ForEach, IfCondition, WebActivity)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1A1A1A"/>
          <w:sz w:val="22"/>
        </w:rPr>
        <w:t>Azure Databricks architecture diagram — Medallion Bronze → Silver → Gold with Delta Lake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color w:val="1A1A1A"/>
          <w:sz w:val="22"/>
        </w:rPr>
        <w:t>Power BI report page mockups — 9 pages, 111 measures</w:t>
      </w:r>
    </w:p>
    <w:p>
      <w:pPr>
        <w:spacing w:after="80"/>
      </w:pPr>
    </w:p>
    <w:p>
      <w:pPr>
        <w:spacing w:before="40" w:after="200"/>
        <w:jc w:val="left"/>
      </w:pPr>
      <w:r>
        <w:rPr>
          <w:rFonts w:ascii="Calibri" w:hAnsi="Calibri"/>
          <w:color w:val="1A1A1A"/>
          <w:sz w:val="22"/>
        </w:rPr>
        <w:t xml:space="preserve">Full source code, notebooks, SQL DDL, DAX measures, ADF pipeline JSON: </w:t>
      </w:r>
      <w:r>
        <w:rPr>
          <w:rFonts w:ascii="Calibri" w:hAnsi="Calibri"/>
          <w:b/>
          <w:color w:val="14443B"/>
          <w:sz w:val="22"/>
        </w:rPr>
        <w:t>https://github.com/anthonyapollis/globeleq-energy-intelligence-platform</w:t>
      </w:r>
    </w:p>
    <w:p>
      <w:pPr>
        <w:spacing w:before="40" w:after="40"/>
        <w:pBdr>
          <w:bottom w:val="single" w:sz="6" w:space="1" w:color="14443B"/>
        </w:pBdr>
      </w:pPr>
    </w:p>
    <w:p>
      <w:pPr>
        <w:spacing w:after="80"/>
      </w:pPr>
    </w:p>
    <w:p>
      <w:pPr>
        <w:spacing w:before="0" w:after="280"/>
        <w:jc w:val="both"/>
      </w:pPr>
      <w:r>
        <w:rPr>
          <w:rFonts w:ascii="Calibri" w:hAnsi="Calibri"/>
          <w:i w:val="0"/>
          <w:color w:val="1A1A1A"/>
          <w:sz w:val="22"/>
        </w:rPr>
        <w:t>I am available for a technical interview at short notice ahead of the 7 July 2026 closing date. I am based in Cape Town and comfortable with the hybrid working arrangement described. I look forward to discussing how this work demonstrates readiness for the BI Specialist role.</w:t>
      </w:r>
    </w:p>
    <w:p>
      <w:pPr>
        <w:spacing w:before="0" w:after="20"/>
      </w:pPr>
      <w:r>
        <w:rPr>
          <w:rFonts w:ascii="Calibri" w:hAnsi="Calibri"/>
          <w:color w:val="1A1A1A"/>
          <w:sz w:val="22"/>
        </w:rPr>
        <w:t>Yours sincerely,</w:t>
      </w:r>
    </w:p>
    <w:p>
      <w:pPr>
        <w:spacing w:before="0" w:after="120"/>
      </w:pPr>
      <w:r>
        <w:rPr>
          <w:rFonts w:ascii="Calibri" w:hAnsi="Calibri"/>
          <w:color w:val="1A1A1A"/>
          <w:sz w:val="22"/>
        </w:rPr>
      </w:r>
    </w:p>
    <w:p>
      <w:pPr>
        <w:spacing w:before="0" w:after="20"/>
      </w:pPr>
      <w:r>
        <w:rPr>
          <w:rFonts w:ascii="Calibri" w:hAnsi="Calibri"/>
          <w:b/>
          <w:color w:val="14443B"/>
          <w:sz w:val="22"/>
        </w:rPr>
        <w:t>Anthony Apollis</w:t>
      </w:r>
    </w:p>
    <w:p>
      <w:pPr>
        <w:spacing w:before="0" w:after="20"/>
      </w:pPr>
      <w:r>
        <w:rPr>
          <w:rFonts w:ascii="Calibri" w:hAnsi="Calibri"/>
          <w:color w:val="14443B"/>
          <w:sz w:val="22"/>
        </w:rPr>
        <w:t>anthony.apollis@gmail.com</w:t>
      </w:r>
    </w:p>
    <w:p>
      <w:pPr>
        <w:spacing w:before="0" w:after="20"/>
      </w:pPr>
      <w:r>
        <w:rPr>
          <w:rFonts w:ascii="Calibri" w:hAnsi="Calibri"/>
          <w:color w:val="14443B"/>
          <w:sz w:val="22"/>
        </w:rPr>
        <w:t>github.com/anthonyapollis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