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/>
        <w:jc w:val="center"/>
      </w:pPr>
      <w:r>
        <w:rPr>
          <w:b/>
          <w:i w:val="0"/>
          <w:color w:val="141414"/>
          <w:sz w:val="72"/>
        </w:rPr>
        <w:t>LEATT GROWTH OS</w:t>
      </w:r>
    </w:p>
    <w:p>
      <w:pPr>
        <w:spacing w:after="600"/>
        <w:jc w:val="center"/>
      </w:pPr>
      <w:r>
        <w:rPr>
          <w:b w:val="0"/>
          <w:i w:val="0"/>
          <w:color w:val="D71920"/>
          <w:sz w:val="30"/>
        </w:rPr>
        <w:t>A Fabric-powered ecommerce intelligence data story</w:t>
      </w:r>
    </w:p>
    <w:p>
      <w:pPr>
        <w:spacing w:after="80"/>
        <w:jc w:val="center"/>
      </w:pPr>
      <w:r>
        <w:rPr>
          <w:b w:val="0"/>
          <w:i w:val="0"/>
          <w:color w:val="6E6E6E"/>
          <w:sz w:val="22"/>
        </w:rPr>
        <w:t>Microsoft Fabric · Data Factory · OneLake · Power BI · Python ML</w:t>
      </w:r>
    </w:p>
    <w:p>
      <w:pPr>
        <w:spacing w:after="160"/>
        <w:jc w:val="center"/>
      </w:pPr>
      <w:r>
        <w:rPr>
          <w:b w:val="0"/>
          <w:i w:val="0"/>
          <w:color w:val="6E6E6E"/>
          <w:sz w:val="22"/>
        </w:rPr>
        <w:t>Anthony Apollis — July 2026</w:t>
      </w:r>
    </w:p>
    <w:p>
      <w:pPr>
        <w:spacing w:after="160"/>
        <w:jc w:val="center"/>
      </w:pPr>
      <w:r>
        <w:rPr>
          <w:b w:val="0"/>
          <w:i w:val="0"/>
          <w:color w:val="6E6E6E"/>
          <w:sz w:val="16"/>
        </w:rPr>
        <w:t>Synthetic transaction data modelled on Leatt's public product catalog (leatt.com). Not affiliated with Leatt Corporation.</w:t>
      </w:r>
      <w:r>
        <w:br w:type="page"/>
      </w:r>
    </w:p>
    <w:p>
      <w:pPr>
        <w:pStyle w:val="Heading1"/>
      </w:pPr>
      <w:r>
        <w:t>1. Is this profitable growth?</w:t>
      </w:r>
    </w:p>
    <w:p>
      <w:pPr>
        <w:spacing w:after="160"/>
      </w:pPr>
      <w:r>
        <w:rPr>
          <w:b w:val="0"/>
          <w:i w:val="0"/>
          <w:sz w:val="22"/>
        </w:rPr>
        <w:t>Leatt sells motocross and adventure safety gear — helmets, body protection, boots, gloves, goggles. Across 4,629 modelled orders, the catalog generates R9.8m in net revenue at a 48.1% gross margin, with 7.1% lost to returns. Apparel is the largest category (R4.3m); Organic Search the leading acquisition channel (R2.4m).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38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tt_about_sour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6E6E6E"/>
          <w:sz w:val="18"/>
        </w:rPr>
        <w:t>Figure 1 — Real Leatt storefront (leatt.com), the narrative anchor for this project.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tt_moto_boots_col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6E6E6E"/>
          <w:sz w:val="18"/>
        </w:rPr>
        <w:t>Figure 2 — Real product catalog evidence: moto boots collection.</w:t>
      </w:r>
    </w:p>
    <w:p>
      <w:pPr>
        <w:pStyle w:val="Heading1"/>
      </w:pPr>
      <w:r>
        <w:t>2. The engine: a real Microsoft Fabric deployment</w:t>
      </w:r>
    </w:p>
    <w:p>
      <w:pPr>
        <w:spacing w:after="160"/>
      </w:pPr>
      <w:r>
        <w:rPr>
          <w:b w:val="0"/>
          <w:i w:val="0"/>
          <w:sz w:val="22"/>
        </w:rPr>
        <w:t>This is a genuine Fabric deployment, not a diagram of one. A capacity, workspace, Lakehouse, Data Factory pipeline item and Power BI report were created through the actual Fabric REST APIs, with real files uploaded into OneLake:</w:t>
      </w:r>
    </w:p>
    <w:p>
      <w:pPr>
        <w:pStyle w:val="ListBullet"/>
      </w:pPr>
      <w:r>
        <w:t>Workspace “Apollis” — e515bafe-7290-4832-ae1d-514be43a9d87</w:t>
      </w:r>
    </w:p>
    <w:p>
      <w:pPr>
        <w:pStyle w:val="ListBullet"/>
      </w:pPr>
      <w:r>
        <w:t>Lakehouse “Leatt_BI_ML_Lakehouse” — dca60749-eaef-410e-9121-ea16eedbc975</w:t>
      </w:r>
    </w:p>
    <w:p>
      <w:pPr>
        <w:pStyle w:val="ListBullet"/>
      </w:pPr>
      <w:r>
        <w:t>Data Factory pipeline “pl_leatt_million_row_lakehouse_load” — 9e82c185-e0ac-485d-9810-4bccdcfe6cf9</w:t>
      </w:r>
    </w:p>
    <w:p>
      <w:pPr>
        <w:pStyle w:val="ListBullet"/>
      </w:pPr>
      <w:r>
        <w:t>Power BI report “Leatt BI ML Executive Report” — 8c6988a7-fe5e-4fbe-abe9-ce7edd7fd63e</w:t>
      </w:r>
    </w:p>
    <w:p>
      <w:pPr>
        <w:pStyle w:val="ListBullet"/>
      </w:pPr>
      <w:r>
        <w:t>Capacity “leattfabricf2” (SKU F2, South Africa North) — paused when not in active use</w:t>
      </w:r>
    </w:p>
    <w:p>
      <w:pPr>
        <w:spacing w:after="160"/>
      </w:pPr>
      <w:r>
        <w:rPr>
          <w:b w:val="0"/>
          <w:i w:val="0"/>
          <w:sz w:val="22"/>
        </w:rPr>
        <w:t>OneLake Bronze/Silver files actually uploaded: the 90.7MB, 2,000,000-row transaction parquet; an 8.9MB, 11,354-variant product catalog; a 13.5MB, 180,000-row synthetic customer file; and a 31.0MB customer ML-score file.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68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bric_data_factory_pipeline_bluepri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6E6E6E"/>
          <w:sz w:val="18"/>
        </w:rPr>
        <w:t>Figure 3 — Bronze → Silver → Gold medallion flow implemented in this workspace.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tt_star_schema_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6E6E6E"/>
          <w:sz w:val="18"/>
        </w:rPr>
        <w:t>Figure 4 — Star schema serving the Lakehouse/Power BI semantic model.</w:t>
      </w:r>
    </w:p>
    <w:p>
      <w:pPr>
        <w:spacing w:after="160"/>
      </w:pPr>
      <w:r>
        <w:rPr>
          <w:b w:val="0"/>
          <w:i/>
          <w:color w:val="6E6E6E"/>
          <w:sz w:val="19"/>
        </w:rPr>
        <w:t>Honest caveat: the Power BI report was created and bound to the semantic model via the real Fabric API (operation succeeded, 100% complete), but an automated service export only produced loading/sign-in screens rather than rendered visuals. Those blank exports are deliberately not presented here as visual proof — the report is real and reachable at its live URL; a rendered screenshot needs a signed-in interactive session.</w:t>
      </w:r>
    </w:p>
    <w:p>
      <w:pPr>
        <w:pStyle w:val="Heading1"/>
      </w:pPr>
      <w:r>
        <w:t>3. The money map</w:t>
      </w:r>
    </w:p>
    <w:p>
      <w:pPr>
        <w:spacing w:after="160"/>
      </w:pPr>
      <w:r>
        <w:rPr>
          <w:b w:val="0"/>
          <w:i w:val="0"/>
          <w:sz w:val="22"/>
        </w:rPr>
        <w:t>Growth quality, not just growth. Apparel concentrates revenue but Parts &amp; Accessories carries the strongest margin. November and December show consistent margin compression in both years — 43.0% average versus 49.0% the rest of the year — a real seasonal promotional pattern in the data, not noise.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8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teg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8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6E6E6E"/>
          <w:sz w:val="18"/>
        </w:rPr>
        <w:t>Figure 5 — Revenue and margin by category.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050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nthl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6E6E6E"/>
          <w:sz w:val="18"/>
        </w:rPr>
        <w:t>Figure 6 — Monthly revenue and margin, with Nov/Dec seasonal dips marked.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472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han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6E6E6E"/>
          <w:sz w:val="18"/>
        </w:rPr>
        <w:t>Figure 7 — Revenue by acquisition channel.</w:t>
      </w:r>
    </w:p>
    <w:p>
      <w:pPr>
        <w:pStyle w:val="Heading1"/>
      </w:pPr>
      <w:r>
        <w:t>4. The growth loop: marketing, SEO, experimentation</w:t>
      </w:r>
    </w:p>
    <w:p>
      <w:pPr>
        <w:spacing w:after="160"/>
      </w:pPr>
      <w:r>
        <w:rPr>
          <w:b w:val="0"/>
          <w:i w:val="0"/>
          <w:sz w:val="22"/>
        </w:rPr>
        <w:t>4 of 6 A/B tests reached statistical significance, worth an estimated R1.3m in incremental revenue if rolled 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94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o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9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6E6E6E"/>
          <w:sz w:val="18"/>
        </w:rPr>
        <w:t>Figure 8 — Marketing ROAS by channel.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329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b_tes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6E6E6E"/>
          <w:sz w:val="18"/>
        </w:rPr>
        <w:t>Figure 9 — A/B test results; red bars reached significance.</w:t>
      </w:r>
    </w:p>
    <w:p>
      <w:pPr>
        <w:spacing w:after="80"/>
      </w:pPr>
      <w:r>
        <w:rPr>
          <w:b/>
          <w:i w:val="0"/>
          <w:sz w:val="22"/>
        </w:rPr>
        <w:t>Competitive positioning:</w:t>
      </w:r>
    </w:p>
    <w:p>
      <w:pPr>
        <w:spacing w:after="120"/>
      </w:pPr>
      <w:r>
        <w:rPr>
          <w:b w:val="0"/>
          <w:i w:val="0"/>
          <w:sz w:val="20"/>
        </w:rPr>
        <w:t>Fox Racing — MX and MTB gear leader. Leatt should lean harder into safety science, protection credibility, and South African origin story.</w:t>
      </w:r>
    </w:p>
    <w:p>
      <w:pPr>
        <w:spacing w:after="120"/>
      </w:pPr>
      <w:r>
        <w:rPr>
          <w:b w:val="0"/>
          <w:i w:val="0"/>
          <w:sz w:val="20"/>
        </w:rPr>
        <w:t>Alpinestars — Premium motorsport protection. Compete with test evidence, fit guides, and protection-first product storytelling.</w:t>
      </w:r>
    </w:p>
    <w:p>
      <w:pPr>
        <w:spacing w:after="120"/>
      </w:pPr>
      <w:r>
        <w:rPr>
          <w:b w:val="0"/>
          <w:i w:val="0"/>
          <w:sz w:val="20"/>
        </w:rPr>
        <w:t>100% — Performance eyewear and goggles. For Leatt eyewear, emphasize lens protection, riding conditions, and bundle with helmets.</w:t>
      </w:r>
    </w:p>
    <w:p>
      <w:pPr>
        <w:spacing w:after="120"/>
      </w:pPr>
      <w:r>
        <w:rPr>
          <w:b w:val="0"/>
          <w:i w:val="0"/>
          <w:sz w:val="20"/>
        </w:rPr>
        <w:t>Oakley — Premium sport optics. Leatt must avoid pure optics battle; position eyewear as protection plus ride-specific value.</w:t>
      </w:r>
    </w:p>
    <w:p>
      <w:pPr>
        <w:spacing w:after="120"/>
      </w:pPr>
      <w:r>
        <w:rPr>
          <w:b w:val="0"/>
          <w:i w:val="0"/>
          <w:sz w:val="20"/>
        </w:rPr>
        <w:t>SCOTT — Bike and moto equipment. Use comparison content: Leatt vs Scott by lens, fit, helmet compatibility, price.</w:t>
      </w:r>
    </w:p>
    <w:p>
      <w:pPr>
        <w:pStyle w:val="Heading1"/>
      </w:pPr>
      <w:r>
        <w:t>5. Finance and governance: SAP-ready reconciliation</w:t>
      </w:r>
    </w:p>
    <w:p>
      <w:pPr>
        <w:spacing w:after="160"/>
      </w:pPr>
      <w:r>
        <w:rPr>
          <w:b w:val="0"/>
          <w:i w:val="0"/>
          <w:sz w:val="22"/>
        </w:rPr>
        <w:t>Ecommerce revenue reconciles to VAT, refunds and expected cash — the layer that lets Finance trust the BI numbers enough to post them against SAP Business One or SAP BW.</w:t>
      </w:r>
    </w:p>
    <w:p>
      <w:pPr>
        <w:spacing w:after="160"/>
      </w:pPr>
      <w:r>
        <w:rPr>
          <w:b w:val="0"/>
          <w:i w:val="0"/>
          <w:sz w:val="22"/>
        </w:rPr>
        <w:t>4 of 10 sampled audit exceptions remain open, owned by Finance Ops / Data Steward for resolution.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817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ure_portal_home_cos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1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b w:val="0"/>
          <w:i/>
          <w:color w:val="6E6E6E"/>
          <w:sz w:val="18"/>
        </w:rPr>
        <w:t>Figure 10 — Real Azure portal session, cost dashboard visible.</w:t>
      </w:r>
    </w:p>
    <w:p>
      <w:pPr>
        <w:pStyle w:val="Heading1"/>
      </w:pPr>
      <w:r>
        <w:t>6. Azure and Fabric: cost discipline</w:t>
      </w:r>
    </w:p>
    <w:p>
      <w:pPr>
        <w:spacing w:after="160"/>
      </w:pPr>
      <w:r>
        <w:rPr>
          <w:b w:val="0"/>
          <w:i w:val="0"/>
          <w:sz w:val="22"/>
        </w:rPr>
        <w:t>Fabric F2 capacity is paused by default and only resumed for active work, then suspended again immediately — verified via both the Azure CLI and the portal UI at every check this project has done.</w:t>
      </w:r>
    </w:p>
    <w:p>
      <w:pPr>
        <w:spacing w:after="160"/>
      </w:pPr>
      <w:r>
        <w:rPr>
          <w:b w:val="0"/>
          <w:i/>
          <w:color w:val="6E6E6E"/>
          <w:sz w:val="19"/>
        </w:rPr>
        <w:t>az fabric capacity suspend --resource-group rg-leatt-fabric-bi-ml --capacity-name leattfabricf2</w:t>
      </w:r>
    </w:p>
    <w:p>
      <w:pPr>
        <w:spacing w:after="160"/>
      </w:pPr>
      <w:r>
        <w:rPr>
          <w:b w:val="0"/>
          <w:i w:val="0"/>
          <w:sz w:val="22"/>
        </w:rPr>
        <w:t>Tags on the resource confirm intent: cost-control=delete-or-pause-after-upload, project=leatt-bi-ml, purpose=portfolio-proof. Full timestamped teardown log: docs/AZURE_COST_SHUTDOWN_PROOF.md.</w:t>
      </w:r>
    </w:p>
    <w:p>
      <w:pPr>
        <w:spacing w:after="160"/>
      </w:pPr>
      <w:r>
        <w:rPr>
          <w:b w:val="0"/>
          <w:i/>
          <w:color w:val="6E6E6E"/>
          <w:sz w:val="18"/>
        </w:rPr>
        <w:t>Full source, data and reproduction steps: github.com/anthonyapollis/leatt-fabric-bi-ml-proof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141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D719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