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b/>
          <w:i w:val="0"/>
          <w:color w:val="141414"/>
          <w:sz w:val="72"/>
        </w:rPr>
        <w:t>LEATT GROWTH OS</w:t>
      </w:r>
    </w:p>
    <w:p>
      <w:pPr>
        <w:spacing w:after="600"/>
        <w:jc w:val="center"/>
      </w:pPr>
      <w:r>
        <w:rPr>
          <w:b w:val="0"/>
          <w:i w:val="0"/>
          <w:color w:val="D71920"/>
          <w:sz w:val="30"/>
        </w:rPr>
        <w:t>A Fabric-powered ecommerce intelligence data story</w:t>
      </w:r>
    </w:p>
    <w:p>
      <w:pPr>
        <w:spacing w:after="80"/>
        <w:jc w:val="center"/>
      </w:pPr>
      <w:r>
        <w:rPr>
          <w:b w:val="0"/>
          <w:i w:val="0"/>
          <w:color w:val="6E6E6E"/>
          <w:sz w:val="22"/>
        </w:rPr>
        <w:t>Microsoft Fabric · Data Factory · OneLake · Power BI · Python ML</w:t>
      </w:r>
    </w:p>
    <w:p>
      <w:pPr>
        <w:spacing w:after="160"/>
        <w:jc w:val="center"/>
      </w:pPr>
      <w:r>
        <w:rPr>
          <w:b w:val="0"/>
          <w:i w:val="0"/>
          <w:color w:val="6E6E6E"/>
          <w:sz w:val="22"/>
        </w:rPr>
        <w:t>Anthony Apollis — July 2026</w:t>
      </w:r>
    </w:p>
    <w:p>
      <w:pPr>
        <w:spacing w:after="160"/>
        <w:jc w:val="center"/>
      </w:pPr>
      <w:r>
        <w:rPr>
          <w:b w:val="0"/>
          <w:i w:val="0"/>
          <w:color w:val="6E6E6E"/>
          <w:sz w:val="16"/>
        </w:rPr>
        <w:t>Synthetic transaction data modelled on Leatt's public product catalog (leatt.com). Not affiliated with Leatt Corporation.</w:t>
      </w:r>
      <w:r>
        <w:br w:type="page"/>
      </w:r>
    </w:p>
    <w:p>
      <w:pPr>
        <w:pStyle w:val="Heading1"/>
      </w:pPr>
      <w:r>
        <w:t>1. Is this profitable growth?</w:t>
      </w:r>
    </w:p>
    <w:p>
      <w:pPr>
        <w:spacing w:after="160"/>
      </w:pPr>
      <w:r>
        <w:rPr>
          <w:b w:val="0"/>
          <w:i w:val="0"/>
          <w:sz w:val="22"/>
        </w:rPr>
        <w:t>Leatt sells motocross and adventure safety gear — helmets, body protection, boots, gloves, goggles. Across 2,925,594 modelled units sold, the catalog generates R3.99bn in net revenue at a 48.5% gross margin, with 4.9% lost to returns. Apparel is the largest category (R1.76bn); Organic Search the leading acquisition channel (R998.0m).</w:t>
      </w:r>
    </w:p>
    <w:p>
      <w:pPr>
        <w:jc w:val="center"/>
      </w:pPr>
      <w:r>
        <w:drawing>
          <wp:inline xmlns:a="http://schemas.openxmlformats.org/drawingml/2006/main" xmlns:pic="http://schemas.openxmlformats.org/drawingml/2006/picture">
            <wp:extent cx="5760720" cy="2559851"/>
            <wp:docPr id="1" name="Picture 1"/>
            <wp:cNvGraphicFramePr>
              <a:graphicFrameLocks noChangeAspect="1"/>
            </wp:cNvGraphicFramePr>
            <a:graphic>
              <a:graphicData uri="http://schemas.openxmlformats.org/drawingml/2006/picture">
                <pic:pic>
                  <pic:nvPicPr>
                    <pic:cNvPr id="0" name="leatt_about_source.png"/>
                    <pic:cNvPicPr/>
                  </pic:nvPicPr>
                  <pic:blipFill>
                    <a:blip r:embed="rId9"/>
                    <a:stretch>
                      <a:fillRect/>
                    </a:stretch>
                  </pic:blipFill>
                  <pic:spPr>
                    <a:xfrm>
                      <a:off x="0" y="0"/>
                      <a:ext cx="5760720" cy="2559851"/>
                    </a:xfrm>
                    <a:prstGeom prst="rect"/>
                  </pic:spPr>
                </pic:pic>
              </a:graphicData>
            </a:graphic>
          </wp:inline>
        </w:drawing>
      </w:r>
    </w:p>
    <w:p>
      <w:pPr>
        <w:spacing w:after="280"/>
        <w:jc w:val="center"/>
      </w:pPr>
      <w:r>
        <w:rPr>
          <w:b w:val="0"/>
          <w:i/>
          <w:color w:val="6E6E6E"/>
          <w:sz w:val="18"/>
        </w:rPr>
        <w:t>Figure 1 — Real Leatt storefront (leatt.com), the narrative anchor for this project.</w:t>
      </w:r>
    </w:p>
    <w:p>
      <w:pPr>
        <w:jc w:val="center"/>
      </w:pPr>
      <w:r>
        <w:drawing>
          <wp:inline xmlns:a="http://schemas.openxmlformats.org/drawingml/2006/main" xmlns:pic="http://schemas.openxmlformats.org/drawingml/2006/picture">
            <wp:extent cx="5029200" cy="2234791"/>
            <wp:docPr id="2" name="Picture 2"/>
            <wp:cNvGraphicFramePr>
              <a:graphicFrameLocks noChangeAspect="1"/>
            </wp:cNvGraphicFramePr>
            <a:graphic>
              <a:graphicData uri="http://schemas.openxmlformats.org/drawingml/2006/picture">
                <pic:pic>
                  <pic:nvPicPr>
                    <pic:cNvPr id="0" name="leatt_moto_boots_collection.png"/>
                    <pic:cNvPicPr/>
                  </pic:nvPicPr>
                  <pic:blipFill>
                    <a:blip r:embed="rId10"/>
                    <a:stretch>
                      <a:fillRect/>
                    </a:stretch>
                  </pic:blipFill>
                  <pic:spPr>
                    <a:xfrm>
                      <a:off x="0" y="0"/>
                      <a:ext cx="5029200" cy="2234791"/>
                    </a:xfrm>
                    <a:prstGeom prst="rect"/>
                  </pic:spPr>
                </pic:pic>
              </a:graphicData>
            </a:graphic>
          </wp:inline>
        </w:drawing>
      </w:r>
    </w:p>
    <w:p>
      <w:pPr>
        <w:spacing w:after="280"/>
        <w:jc w:val="center"/>
      </w:pPr>
      <w:r>
        <w:rPr>
          <w:b w:val="0"/>
          <w:i/>
          <w:color w:val="6E6E6E"/>
          <w:sz w:val="18"/>
        </w:rPr>
        <w:t>Figure 2 — Real product catalog evidence: moto boots collection.</w:t>
      </w:r>
    </w:p>
    <w:p>
      <w:pPr>
        <w:pStyle w:val="Heading1"/>
      </w:pPr>
      <w:r>
        <w:t>2. The engine: what's real, and how data actually moves</w:t>
      </w:r>
    </w:p>
    <w:p>
      <w:pPr>
        <w:spacing w:after="160"/>
      </w:pPr>
      <w:r>
        <w:rPr>
          <w:b w:val="0"/>
          <w:i w:val="0"/>
          <w:sz w:val="22"/>
        </w:rPr>
        <w:t>A capacity, workspace, Lakehouse and Power BI report were created through the actual Fabric REST APIs — genuine, live items in the tenant, not a diagram of them:</w:t>
      </w:r>
    </w:p>
    <w:p>
      <w:pPr>
        <w:pStyle w:val="ListBullet"/>
      </w:pPr>
      <w:r>
        <w:t>Workspace “Apollis” — e515bafe-7290-4832-ae1d-514be43a9d87</w:t>
      </w:r>
    </w:p>
    <w:p>
      <w:pPr>
        <w:pStyle w:val="ListBullet"/>
      </w:pPr>
      <w:r>
        <w:t>Lakehouse “Leatt_BI_ML_Lakehouse” — dca60749-eaef-410e-9121-ea16eedbc975</w:t>
      </w:r>
    </w:p>
    <w:p>
      <w:pPr>
        <w:pStyle w:val="ListBullet"/>
      </w:pPr>
      <w:r>
        <w:t>Power BI report “Leatt BI ML Executive Report” — 8c6988a7-fe5e-4fbe-abe9-ce7edd7fd63e</w:t>
      </w:r>
    </w:p>
    <w:p>
      <w:pPr>
        <w:pStyle w:val="ListBullet"/>
      </w:pPr>
      <w:r>
        <w:t>Capacity “leattfabricf2” (SKU F2, South Africa North) — paused when not in active use</w:t>
      </w:r>
    </w:p>
    <w:p>
      <w:pPr>
        <w:spacing w:after="160"/>
      </w:pPr>
      <w:r>
        <w:rPr>
          <w:b w:val="0"/>
          <w:i w:val="0"/>
          <w:sz w:val="22"/>
        </w:rPr>
        <w:t>How the data actually moved: a Python script (src/fabric/upload_to_onelake.py) authenticated with an Azure CLI token and called OneLake's storage REST API directly (create-directory, append, flush) to push files into Bronze/Silver — this is the real, verified transfer mechanism, confirmed by matching byte counts on both ends: the 90.7MB, 2,000,000-row transaction parquet; an 8.9MB, 11,354-variant product catalog; a 13.5MB, 180,000-row synthetic customer file; and a 31.0MB customer ML-score file.</w:t>
      </w:r>
    </w:p>
    <w:p>
      <w:pPr>
        <w:spacing w:after="160"/>
      </w:pPr>
      <w:r>
        <w:rPr>
          <w:b w:val="0"/>
          <w:i/>
          <w:color w:val="6E6E6E"/>
          <w:sz w:val="19"/>
        </w:rPr>
        <w:t>A Fabric Data Factory pipeline item (pl_leatt_million_row_lakehouse_load, 9e82c185-e0ac-485d-9810-4bccdcfe6cf9) is genuinely registered in the workspace via the Fabric API, proving the integration exists — but it was not configured with copy activities and run; the physical move above happened via the script. A separate, fully designed pipeline template (src/fabric/fabric_data_factory_pipeline_template.json) specifies what a production build would do: a Copy activity pulling Leatt's live Shopify product API into Bronze, a Copy activity landing the transaction parquet into Bronze, and a Notebook activity building the Silver Delta table — presented here as a design, not as something proven to have executed.</w:t>
      </w:r>
    </w:p>
    <w:p>
      <w:pPr>
        <w:jc w:val="center"/>
      </w:pPr>
      <w:r>
        <w:drawing>
          <wp:inline xmlns:a="http://schemas.openxmlformats.org/drawingml/2006/main" xmlns:pic="http://schemas.openxmlformats.org/drawingml/2006/picture">
            <wp:extent cx="5760720" cy="2468880"/>
            <wp:docPr id="3" name="Picture 3"/>
            <wp:cNvGraphicFramePr>
              <a:graphicFrameLocks noChangeAspect="1"/>
            </wp:cNvGraphicFramePr>
            <a:graphic>
              <a:graphicData uri="http://schemas.openxmlformats.org/drawingml/2006/picture">
                <pic:pic>
                  <pic:nvPicPr>
                    <pic:cNvPr id="0" name="fabric_data_factory_pipeline_blueprint.png"/>
                    <pic:cNvPicPr/>
                  </pic:nvPicPr>
                  <pic:blipFill>
                    <a:blip r:embed="rId11"/>
                    <a:stretch>
                      <a:fillRect/>
                    </a:stretch>
                  </pic:blipFill>
                  <pic:spPr>
                    <a:xfrm>
                      <a:off x="0" y="0"/>
                      <a:ext cx="5760720" cy="2468880"/>
                    </a:xfrm>
                    <a:prstGeom prst="rect"/>
                  </pic:spPr>
                </pic:pic>
              </a:graphicData>
            </a:graphic>
          </wp:inline>
        </w:drawing>
      </w:r>
    </w:p>
    <w:p>
      <w:pPr>
        <w:spacing w:after="280"/>
        <w:jc w:val="center"/>
      </w:pPr>
      <w:r>
        <w:rPr>
          <w:b w:val="0"/>
          <w:i/>
          <w:color w:val="6E6E6E"/>
          <w:sz w:val="18"/>
        </w:rPr>
        <w:t>Figure 3 — The intended Bronze -&gt; Silver -&gt; Gold medallion flow (design target; Bronze/Silver landing is real, Gold is modelled locally today).</w:t>
      </w:r>
    </w:p>
    <w:p>
      <w:pPr>
        <w:jc w:val="center"/>
      </w:pPr>
      <w:r>
        <w:drawing>
          <wp:inline xmlns:a="http://schemas.openxmlformats.org/drawingml/2006/main" xmlns:pic="http://schemas.openxmlformats.org/drawingml/2006/picture">
            <wp:extent cx="5760720" cy="4608576"/>
            <wp:docPr id="4" name="Picture 4"/>
            <wp:cNvGraphicFramePr>
              <a:graphicFrameLocks noChangeAspect="1"/>
            </wp:cNvGraphicFramePr>
            <a:graphic>
              <a:graphicData uri="http://schemas.openxmlformats.org/drawingml/2006/picture">
                <pic:pic>
                  <pic:nvPicPr>
                    <pic:cNvPr id="0" name="leatt_star_schema_erd.png"/>
                    <pic:cNvPicPr/>
                  </pic:nvPicPr>
                  <pic:blipFill>
                    <a:blip r:embed="rId12"/>
                    <a:stretch>
                      <a:fillRect/>
                    </a:stretch>
                  </pic:blipFill>
                  <pic:spPr>
                    <a:xfrm>
                      <a:off x="0" y="0"/>
                      <a:ext cx="5760720" cy="4608576"/>
                    </a:xfrm>
                    <a:prstGeom prst="rect"/>
                  </pic:spPr>
                </pic:pic>
              </a:graphicData>
            </a:graphic>
          </wp:inline>
        </w:drawing>
      </w:r>
    </w:p>
    <w:p>
      <w:pPr>
        <w:spacing w:after="280"/>
        <w:jc w:val="center"/>
      </w:pPr>
      <w:r>
        <w:rPr>
          <w:b w:val="0"/>
          <w:i/>
          <w:color w:val="6E6E6E"/>
          <w:sz w:val="18"/>
        </w:rPr>
        <w:t>Figure 4 — Star schema. Implemented today as a local SQLite warehouse; fabric_lakehouse_warehouse_ddl.sql is the equivalent starter DDL for Fabric.</w:t>
      </w:r>
    </w:p>
    <w:p>
      <w:pPr>
        <w:spacing w:after="160"/>
      </w:pPr>
      <w:r>
        <w:rPr>
          <w:b w:val="0"/>
          <w:i/>
          <w:color w:val="6E6E6E"/>
          <w:sz w:val="19"/>
        </w:rPr>
        <w:t>Honest caveat: the Power BI report was created and bound to the semantic model via the real Fabric API (operation succeeded, 100% complete), but an automated service export only produced loading/sign-in screens rather than rendered visuals. Those blank exports are deliberately not presented here as visual proof — the report is real and reachable at its live URL; a rendered screenshot needs a signed-in interactive session.</w:t>
      </w:r>
    </w:p>
    <w:p>
      <w:pPr>
        <w:pStyle w:val="Heading1"/>
      </w:pPr>
      <w:r>
        <w:t>3. The money map</w:t>
      </w:r>
    </w:p>
    <w:p>
      <w:pPr>
        <w:spacing w:after="160"/>
      </w:pPr>
      <w:r>
        <w:rPr>
          <w:b w:val="0"/>
          <w:i w:val="0"/>
          <w:sz w:val="22"/>
        </w:rPr>
        <w:t>Growth quality, not just growth. Apparel concentrates revenue but Parts &amp; Accessories carries the strongest margin (56.2%). November and December show consistent margin compression in both years — 43.5% average versus 49.3% the rest of the year, a 5.8% gap — a real seasonal promotional pattern flagged by the anomaly-detection score in the gold layer, not noise.</w:t>
      </w:r>
    </w:p>
    <w:p>
      <w:pPr>
        <w:jc w:val="center"/>
      </w:pPr>
      <w:r>
        <w:drawing>
          <wp:inline xmlns:a="http://schemas.openxmlformats.org/drawingml/2006/main" xmlns:pic="http://schemas.openxmlformats.org/drawingml/2006/picture">
            <wp:extent cx="5760720" cy="2839281"/>
            <wp:docPr id="5" name="Picture 5"/>
            <wp:cNvGraphicFramePr>
              <a:graphicFrameLocks noChangeAspect="1"/>
            </wp:cNvGraphicFramePr>
            <a:graphic>
              <a:graphicData uri="http://schemas.openxmlformats.org/drawingml/2006/picture">
                <pic:pic>
                  <pic:nvPicPr>
                    <pic:cNvPr id="0" name="01_category.png"/>
                    <pic:cNvPicPr/>
                  </pic:nvPicPr>
                  <pic:blipFill>
                    <a:blip r:embed="rId13"/>
                    <a:stretch>
                      <a:fillRect/>
                    </a:stretch>
                  </pic:blipFill>
                  <pic:spPr>
                    <a:xfrm>
                      <a:off x="0" y="0"/>
                      <a:ext cx="5760720" cy="2839281"/>
                    </a:xfrm>
                    <a:prstGeom prst="rect"/>
                  </pic:spPr>
                </pic:pic>
              </a:graphicData>
            </a:graphic>
          </wp:inline>
        </w:drawing>
      </w:r>
    </w:p>
    <w:p>
      <w:pPr>
        <w:spacing w:after="280"/>
        <w:jc w:val="center"/>
      </w:pPr>
      <w:r>
        <w:rPr>
          <w:b w:val="0"/>
          <w:i/>
          <w:color w:val="6E6E6E"/>
          <w:sz w:val="18"/>
        </w:rPr>
        <w:t>Figure 5 — Revenue and margin by category.</w:t>
      </w:r>
    </w:p>
    <w:p>
      <w:pPr>
        <w:jc w:val="center"/>
      </w:pPr>
      <w:r>
        <w:drawing>
          <wp:inline xmlns:a="http://schemas.openxmlformats.org/drawingml/2006/main" xmlns:pic="http://schemas.openxmlformats.org/drawingml/2006/picture">
            <wp:extent cx="5760720" cy="2605058"/>
            <wp:docPr id="6" name="Picture 6"/>
            <wp:cNvGraphicFramePr>
              <a:graphicFrameLocks noChangeAspect="1"/>
            </wp:cNvGraphicFramePr>
            <a:graphic>
              <a:graphicData uri="http://schemas.openxmlformats.org/drawingml/2006/picture">
                <pic:pic>
                  <pic:nvPicPr>
                    <pic:cNvPr id="0" name="02_monthly.png"/>
                    <pic:cNvPicPr/>
                  </pic:nvPicPr>
                  <pic:blipFill>
                    <a:blip r:embed="rId14"/>
                    <a:stretch>
                      <a:fillRect/>
                    </a:stretch>
                  </pic:blipFill>
                  <pic:spPr>
                    <a:xfrm>
                      <a:off x="0" y="0"/>
                      <a:ext cx="5760720" cy="2605058"/>
                    </a:xfrm>
                    <a:prstGeom prst="rect"/>
                  </pic:spPr>
                </pic:pic>
              </a:graphicData>
            </a:graphic>
          </wp:inline>
        </w:drawing>
      </w:r>
    </w:p>
    <w:p>
      <w:pPr>
        <w:spacing w:after="280"/>
        <w:jc w:val="center"/>
      </w:pPr>
      <w:r>
        <w:rPr>
          <w:b w:val="0"/>
          <w:i/>
          <w:color w:val="6E6E6E"/>
          <w:sz w:val="18"/>
        </w:rPr>
        <w:t>Figure 6 — Monthly revenue and margin, with anomaly-flagged Nov/Dec months marked.</w:t>
      </w:r>
    </w:p>
    <w:p>
      <w:pPr>
        <w:jc w:val="center"/>
      </w:pPr>
      <w:r>
        <w:drawing>
          <wp:inline xmlns:a="http://schemas.openxmlformats.org/drawingml/2006/main" xmlns:pic="http://schemas.openxmlformats.org/drawingml/2006/picture">
            <wp:extent cx="5760720" cy="2839420"/>
            <wp:docPr id="7" name="Picture 7"/>
            <wp:cNvGraphicFramePr>
              <a:graphicFrameLocks noChangeAspect="1"/>
            </wp:cNvGraphicFramePr>
            <a:graphic>
              <a:graphicData uri="http://schemas.openxmlformats.org/drawingml/2006/picture">
                <pic:pic>
                  <pic:nvPicPr>
                    <pic:cNvPr id="0" name="03_channel.png"/>
                    <pic:cNvPicPr/>
                  </pic:nvPicPr>
                  <pic:blipFill>
                    <a:blip r:embed="rId15"/>
                    <a:stretch>
                      <a:fillRect/>
                    </a:stretch>
                  </pic:blipFill>
                  <pic:spPr>
                    <a:xfrm>
                      <a:off x="0" y="0"/>
                      <a:ext cx="5760720" cy="2839420"/>
                    </a:xfrm>
                    <a:prstGeom prst="rect"/>
                  </pic:spPr>
                </pic:pic>
              </a:graphicData>
            </a:graphic>
          </wp:inline>
        </w:drawing>
      </w:r>
    </w:p>
    <w:p>
      <w:pPr>
        <w:spacing w:after="280"/>
        <w:jc w:val="center"/>
      </w:pPr>
      <w:r>
        <w:rPr>
          <w:b w:val="0"/>
          <w:i/>
          <w:color w:val="6E6E6E"/>
          <w:sz w:val="18"/>
        </w:rPr>
        <w:t>Figure 7 — Revenue by acquisition channel.</w:t>
      </w:r>
    </w:p>
    <w:p>
      <w:pPr>
        <w:spacing w:after="160"/>
      </w:pPr>
      <w:r>
        <w:rPr>
          <w:b w:val="0"/>
          <w:i w:val="0"/>
          <w:sz w:val="22"/>
        </w:rPr>
        <w:t>Geographically, Gauteng leads at R1.24bn (priority growth market); the full provincial breakdown follows.</w:t>
      </w:r>
    </w:p>
    <w:p>
      <w:pPr>
        <w:jc w:val="center"/>
      </w:pPr>
      <w:r>
        <w:drawing>
          <wp:inline xmlns:a="http://schemas.openxmlformats.org/drawingml/2006/main" xmlns:pic="http://schemas.openxmlformats.org/drawingml/2006/picture">
            <wp:extent cx="5760720" cy="2836818"/>
            <wp:docPr id="8" name="Picture 8"/>
            <wp:cNvGraphicFramePr>
              <a:graphicFrameLocks noChangeAspect="1"/>
            </wp:cNvGraphicFramePr>
            <a:graphic>
              <a:graphicData uri="http://schemas.openxmlformats.org/drawingml/2006/picture">
                <pic:pic>
                  <pic:nvPicPr>
                    <pic:cNvPr id="0" name="06_province.png"/>
                    <pic:cNvPicPr/>
                  </pic:nvPicPr>
                  <pic:blipFill>
                    <a:blip r:embed="rId16"/>
                    <a:stretch>
                      <a:fillRect/>
                    </a:stretch>
                  </pic:blipFill>
                  <pic:spPr>
                    <a:xfrm>
                      <a:off x="0" y="0"/>
                      <a:ext cx="5760720" cy="2836818"/>
                    </a:xfrm>
                    <a:prstGeom prst="rect"/>
                  </pic:spPr>
                </pic:pic>
              </a:graphicData>
            </a:graphic>
          </wp:inline>
        </w:drawing>
      </w:r>
    </w:p>
    <w:p>
      <w:pPr>
        <w:spacing w:after="280"/>
        <w:jc w:val="center"/>
      </w:pPr>
      <w:r>
        <w:rPr>
          <w:b w:val="0"/>
          <w:i/>
          <w:color w:val="6E6E6E"/>
          <w:sz w:val="18"/>
        </w:rPr>
        <w:t>Figure 8 — Revenue by province.</w:t>
      </w:r>
    </w:p>
    <w:p>
      <w:pPr>
        <w:pStyle w:val="Heading1"/>
      </w:pPr>
      <w:r>
        <w:t>4. Issues, root causes and prevention — how this platform catches problems before they compound</w:t>
      </w:r>
    </w:p>
    <w:p>
      <w:pPr>
        <w:spacing w:after="160"/>
      </w:pPr>
      <w:r>
        <w:rPr>
          <w:b w:val="0"/>
          <w:i w:val="0"/>
          <w:sz w:val="22"/>
        </w:rPr>
        <w:t>A KPI dashboard that only reports numbers is half a BI platform. The other half is a structured way to ask "why", decide what to do about it, and catch the next one before it costs money. This chapter walks that loop end to end using the real signals generated from the gold layer.</w:t>
      </w:r>
    </w:p>
    <w:p>
      <w:pPr>
        <w:spacing w:after="80"/>
      </w:pPr>
      <w:r>
        <w:rPr>
          <w:b/>
          <w:i w:val="0"/>
          <w:color w:val="D71920"/>
          <w:sz w:val="26"/>
        </w:rPr>
        <w:t>4.1 Root-cause diagnostic playbook</w:t>
      </w:r>
    </w:p>
    <w:p>
      <w:pPr>
        <w:spacing w:after="160"/>
      </w:pPr>
      <w:r>
        <w:rPr>
          <w:b w:val="0"/>
          <w:i w:val="0"/>
          <w:sz w:val="22"/>
        </w:rPr>
        <w:t>When a headline number moves, this is the decision tree used to find out why before reacting:</w:t>
      </w:r>
    </w:p>
    <w:p>
      <w:pPr>
        <w:spacing w:after="40"/>
      </w:pPr>
      <w:r>
        <w:rPr>
          <w:b/>
          <w:i w:val="0"/>
          <w:sz w:val="21"/>
        </w:rPr>
        <w:t>Audit exception</w:t>
      </w:r>
    </w:p>
    <w:p>
      <w:pPr>
        <w:spacing w:after="80"/>
      </w:pPr>
      <w:r>
        <w:rPr>
          <w:b w:val="0"/>
          <w:i w:val="0"/>
          <w:color w:val="6E6E6E"/>
          <w:sz w:val="19"/>
        </w:rPr>
        <w:t>Data lineage: Do source/target row counts reconcile? → Duplicate, missing or stale pipeline load.</w:t>
      </w:r>
    </w:p>
    <w:p>
      <w:pPr>
        <w:spacing w:after="40"/>
      </w:pPr>
      <w:r>
        <w:rPr>
          <w:b/>
          <w:i w:val="0"/>
          <w:sz w:val="21"/>
        </w:rPr>
        <w:t>Margin down</w:t>
      </w:r>
    </w:p>
    <w:p>
      <w:pPr>
        <w:spacing w:after="80"/>
      </w:pPr>
      <w:r>
        <w:rPr>
          <w:b w:val="0"/>
          <w:i w:val="0"/>
          <w:color w:val="6E6E6E"/>
          <w:sz w:val="19"/>
        </w:rPr>
        <w:t>Discounting: Did discount depth increase by category/channel? → Promo overuse or weak pricing control.</w:t>
      </w:r>
    </w:p>
    <w:p>
      <w:pPr>
        <w:spacing w:after="80"/>
      </w:pPr>
      <w:r>
        <w:rPr>
          <w:b w:val="0"/>
          <w:i w:val="0"/>
          <w:color w:val="6E6E6E"/>
          <w:sz w:val="19"/>
        </w:rPr>
        <w:t>Returns: Are returns rising in a specific category/product? → Sizing, content, fulfillment or quality leakage.</w:t>
      </w:r>
    </w:p>
    <w:p>
      <w:pPr>
        <w:spacing w:after="40"/>
      </w:pPr>
      <w:r>
        <w:rPr>
          <w:b/>
          <w:i w:val="0"/>
          <w:sz w:val="21"/>
        </w:rPr>
        <w:t>ROAS down</w:t>
      </w:r>
    </w:p>
    <w:p>
      <w:pPr>
        <w:spacing w:after="80"/>
      </w:pPr>
      <w:r>
        <w:rPr>
          <w:b w:val="0"/>
          <w:i w:val="0"/>
          <w:color w:val="6E6E6E"/>
          <w:sz w:val="19"/>
        </w:rPr>
        <w:t>Traffic quality: Is revenue falling while spend remains high? → Creative fatigue, wrong audience, poor landing page.</w:t>
      </w:r>
    </w:p>
    <w:p>
      <w:pPr>
        <w:spacing w:after="40"/>
      </w:pPr>
      <w:r>
        <w:rPr>
          <w:b/>
          <w:i w:val="0"/>
          <w:sz w:val="21"/>
        </w:rPr>
        <w:t>Returns up</w:t>
      </w:r>
    </w:p>
    <w:p>
      <w:pPr>
        <w:spacing w:after="80"/>
      </w:pPr>
      <w:r>
        <w:rPr>
          <w:b w:val="0"/>
          <w:i w:val="0"/>
          <w:color w:val="6E6E6E"/>
          <w:sz w:val="19"/>
        </w:rPr>
        <w:t>Product fit: Are high-risk items clustered by category, size or product line? → Improve size guide, PDP detail and customer education.</w:t>
      </w:r>
    </w:p>
    <w:p>
      <w:pPr>
        <w:spacing w:after="80"/>
      </w:pPr>
      <w:r>
        <w:rPr>
          <w:b w:val="0"/>
          <w:i w:val="0"/>
          <w:color w:val="6E6E6E"/>
          <w:sz w:val="19"/>
        </w:rPr>
        <w:t>Fulfillment: Are return rates linked to fulfillment days or province? → Delivery promise or regional service gap.</w:t>
      </w:r>
    </w:p>
    <w:p>
      <w:pPr>
        <w:spacing w:after="40"/>
      </w:pPr>
      <w:r>
        <w:rPr>
          <w:b/>
          <w:i w:val="0"/>
          <w:sz w:val="21"/>
        </w:rPr>
        <w:t>Revenue down</w:t>
      </w:r>
    </w:p>
    <w:p>
      <w:pPr>
        <w:spacing w:after="80"/>
      </w:pPr>
      <w:r>
        <w:rPr>
          <w:b w:val="0"/>
          <w:i w:val="0"/>
          <w:color w:val="6E6E6E"/>
          <w:sz w:val="19"/>
        </w:rPr>
        <w:t>Category demand: Which categories moved versus 3-month average? → Campaign issue, product availability, seasonality or assortment gap.</w:t>
      </w:r>
    </w:p>
    <w:p>
      <w:pPr>
        <w:spacing w:after="80"/>
      </w:pPr>
      <w:r>
        <w:rPr>
          <w:b w:val="0"/>
          <w:i w:val="0"/>
          <w:color w:val="6E6E6E"/>
          <w:sz w:val="19"/>
        </w:rPr>
        <w:t>Channel mix: Did traffic/revenue shift away from efficient channels? → Media allocation, SEO ranking or landing-page relevance issue.</w:t>
      </w:r>
    </w:p>
    <w:p>
      <w:pPr>
        <w:spacing w:after="80"/>
      </w:pPr>
      <w:r>
        <w:rPr>
          <w:b/>
          <w:i w:val="0"/>
          <w:color w:val="D71920"/>
          <w:sz w:val="26"/>
        </w:rPr>
        <w:t>4.2 Decision signals monitored</w:t>
      </w:r>
    </w:p>
    <w:p>
      <w:pPr>
        <w:spacing w:after="160"/>
      </w:pPr>
      <w:r>
        <w:rPr>
          <w:b w:val="0"/>
          <w:i w:val="0"/>
          <w:sz w:val="22"/>
        </w:rPr>
        <w:t>Each signal below has a threshold rule; when a reading crosses it, an owner is already assigned to act — this is what makes the dashboard operational rather than decorative.</w:t>
      </w:r>
    </w:p>
    <w:p>
      <w:pPr>
        <w:spacing w:after="120"/>
      </w:pPr>
      <w:r>
        <w:rPr>
          <w:b w:val="0"/>
          <w:i w:val="0"/>
          <w:sz w:val="20"/>
        </w:rPr>
        <w:t>Revenue momentum: R3,994,247,413 — Healthy scale. Trigger exception commentary in the monthly trading pack. (owner: BI Ops)</w:t>
      </w:r>
    </w:p>
    <w:p>
      <w:pPr>
        <w:spacing w:after="120"/>
      </w:pPr>
      <w:r>
        <w:rPr>
          <w:b w:val="0"/>
          <w:i w:val="0"/>
          <w:sz w:val="20"/>
        </w:rPr>
        <w:t>Margin quality: 48.5% — Strong but must be protected. Protect margin-positive product mix and bundle high-margin items. (owner: CFO / Merchandising)</w:t>
      </w:r>
    </w:p>
    <w:p>
      <w:pPr>
        <w:spacing w:after="120"/>
      </w:pPr>
      <w:r>
        <w:rPr>
          <w:b w:val="0"/>
          <w:i w:val="0"/>
          <w:sz w:val="20"/>
        </w:rPr>
        <w:t>Return leakage: 4.9% — Watchlist. Improve sizing, delivery promise, PDP content and post-purchase guidance. (owner: COO / CX)</w:t>
      </w:r>
    </w:p>
    <w:p>
      <w:pPr>
        <w:spacing w:after="120"/>
      </w:pPr>
      <w:r>
        <w:rPr>
          <w:b w:val="0"/>
          <w:i w:val="0"/>
          <w:sz w:val="20"/>
        </w:rPr>
        <w:t>Hero category concentration: Apparel R1,759,430,045 — Strategic dependency. Create availability alerts and category-specific SEO/story pages. (owner: CEO / Supply)</w:t>
      </w:r>
    </w:p>
    <w:p>
      <w:pPr>
        <w:spacing w:after="120"/>
      </w:pPr>
      <w:r>
        <w:rPr>
          <w:b w:val="0"/>
          <w:i w:val="0"/>
          <w:sz w:val="20"/>
        </w:rPr>
        <w:t>Channel efficiency: Direct 100.0x ROAS — Scale carefully. Move spend toward efficient journeys; keep paid experiments controlled. (owner: CMO)</w:t>
      </w:r>
    </w:p>
    <w:p>
      <w:pPr>
        <w:spacing w:after="120"/>
      </w:pPr>
      <w:r>
        <w:rPr>
          <w:b w:val="0"/>
          <w:i w:val="0"/>
          <w:sz w:val="20"/>
        </w:rPr>
        <w:t>Data completeness: 2,000,000 rows — Audit-ready. Publish source, target, row count and commit ID in every close pack. (owner: Data Governance)</w:t>
      </w:r>
    </w:p>
    <w:p>
      <w:pPr>
        <w:spacing w:after="120"/>
      </w:pPr>
      <w:r>
        <w:rPr>
          <w:b w:val="0"/>
          <w:i w:val="0"/>
          <w:sz w:val="20"/>
        </w:rPr>
        <w:t>Cloud cost: Fabric F2 paused — Controlled. Resume only for refresh/demo, then pause again. (owner: BI Platform Owner)</w:t>
      </w:r>
    </w:p>
    <w:p>
      <w:pPr>
        <w:spacing w:after="80"/>
      </w:pPr>
      <w:r>
        <w:rPr>
          <w:b/>
          <w:i w:val="0"/>
          <w:color w:val="D71920"/>
          <w:sz w:val="26"/>
        </w:rPr>
        <w:t>4.3 Prevention layer 1 — ML return-risk scoring</w:t>
      </w:r>
    </w:p>
    <w:p>
      <w:pPr>
        <w:spacing w:after="160"/>
      </w:pPr>
      <w:r>
        <w:rPr>
          <w:b w:val="0"/>
          <w:i w:val="0"/>
          <w:sz w:val="22"/>
        </w:rPr>
        <w:t>A logistic regression model (AUC 0.59, recall 71.8%) scores every transaction line for return risk. The high-risk watchlist sample flags 25,000 transaction lines worth R48.6m at risk, concentrated in Apparel — giving CX and merchandising a ranked list to act on before the return happens, rather than reading about it in next month's return-rate KPI.</w:t>
      </w:r>
    </w:p>
    <w:p>
      <w:pPr>
        <w:jc w:val="center"/>
      </w:pPr>
      <w:r>
        <w:drawing>
          <wp:inline xmlns:a="http://schemas.openxmlformats.org/drawingml/2006/main" xmlns:pic="http://schemas.openxmlformats.org/drawingml/2006/picture">
            <wp:extent cx="5760720" cy="2857764"/>
            <wp:docPr id="9" name="Picture 9"/>
            <wp:cNvGraphicFramePr>
              <a:graphicFrameLocks noChangeAspect="1"/>
            </wp:cNvGraphicFramePr>
            <a:graphic>
              <a:graphicData uri="http://schemas.openxmlformats.org/drawingml/2006/picture">
                <pic:pic>
                  <pic:nvPicPr>
                    <pic:cNvPr id="0" name="08_return_risk.png"/>
                    <pic:cNvPicPr/>
                  </pic:nvPicPr>
                  <pic:blipFill>
                    <a:blip r:embed="rId17"/>
                    <a:stretch>
                      <a:fillRect/>
                    </a:stretch>
                  </pic:blipFill>
                  <pic:spPr>
                    <a:xfrm>
                      <a:off x="0" y="0"/>
                      <a:ext cx="5760720" cy="2857764"/>
                    </a:xfrm>
                    <a:prstGeom prst="rect"/>
                  </pic:spPr>
                </pic:pic>
              </a:graphicData>
            </a:graphic>
          </wp:inline>
        </w:drawing>
      </w:r>
    </w:p>
    <w:p>
      <w:pPr>
        <w:spacing w:after="280"/>
        <w:jc w:val="center"/>
      </w:pPr>
      <w:r>
        <w:rPr>
          <w:b w:val="0"/>
          <w:i/>
          <w:color w:val="6E6E6E"/>
          <w:sz w:val="18"/>
        </w:rPr>
        <w:t>Figure 9 — ML-flagged high-return-risk transactions by category.</w:t>
      </w:r>
    </w:p>
    <w:p>
      <w:pPr>
        <w:spacing w:after="80"/>
      </w:pPr>
      <w:r>
        <w:rPr>
          <w:b/>
          <w:i w:val="0"/>
          <w:color w:val="D71920"/>
          <w:sz w:val="26"/>
        </w:rPr>
        <w:t>4.4 Prevention layer 2 — forecast and anomaly detection</w:t>
      </w:r>
    </w:p>
    <w:p>
      <w:pPr>
        <w:spacing w:after="160"/>
      </w:pPr>
      <w:r>
        <w:rPr>
          <w:b w:val="0"/>
          <w:i w:val="0"/>
          <w:sz w:val="22"/>
        </w:rPr>
        <w:t>A 6-month forward revenue forecast (next month: R129.6m, trough R106.4m) combined with a monthly anomaly score lets the business see the Nov/Dec margin dip coming rather than explaining it after the fact — the same 4 months flagged by the anomaly score are exactly the 4 months with real margin compression.</w:t>
      </w:r>
    </w:p>
    <w:p>
      <w:pPr>
        <w:jc w:val="center"/>
      </w:pPr>
      <w:r>
        <w:drawing>
          <wp:inline xmlns:a="http://schemas.openxmlformats.org/drawingml/2006/main" xmlns:pic="http://schemas.openxmlformats.org/drawingml/2006/picture">
            <wp:extent cx="5760720" cy="2606156"/>
            <wp:docPr id="10" name="Picture 10"/>
            <wp:cNvGraphicFramePr>
              <a:graphicFrameLocks noChangeAspect="1"/>
            </wp:cNvGraphicFramePr>
            <a:graphic>
              <a:graphicData uri="http://schemas.openxmlformats.org/drawingml/2006/picture">
                <pic:pic>
                  <pic:nvPicPr>
                    <pic:cNvPr id="0" name="07_forecast.png"/>
                    <pic:cNvPicPr/>
                  </pic:nvPicPr>
                  <pic:blipFill>
                    <a:blip r:embed="rId18"/>
                    <a:stretch>
                      <a:fillRect/>
                    </a:stretch>
                  </pic:blipFill>
                  <pic:spPr>
                    <a:xfrm>
                      <a:off x="0" y="0"/>
                      <a:ext cx="5760720" cy="2606156"/>
                    </a:xfrm>
                    <a:prstGeom prst="rect"/>
                  </pic:spPr>
                </pic:pic>
              </a:graphicData>
            </a:graphic>
          </wp:inline>
        </w:drawing>
      </w:r>
    </w:p>
    <w:p>
      <w:pPr>
        <w:spacing w:after="280"/>
        <w:jc w:val="center"/>
      </w:pPr>
      <w:r>
        <w:rPr>
          <w:b w:val="0"/>
          <w:i/>
          <w:color w:val="6E6E6E"/>
          <w:sz w:val="18"/>
        </w:rPr>
        <w:t>Figure 10 — Revenue trend, anomaly detection and 6-month forecast.</w:t>
      </w:r>
    </w:p>
    <w:p>
      <w:pPr>
        <w:spacing w:after="80"/>
      </w:pPr>
      <w:r>
        <w:rPr>
          <w:b/>
          <w:i w:val="0"/>
          <w:color w:val="D71920"/>
          <w:sz w:val="26"/>
        </w:rPr>
        <w:t>4.5 Next best actions and prioritized initiatives</w:t>
      </w:r>
    </w:p>
    <w:p>
      <w:pPr>
        <w:spacing w:after="120"/>
      </w:pPr>
      <w:r>
        <w:rPr>
          <w:b w:val="0"/>
          <w:i w:val="0"/>
          <w:sz w:val="20"/>
        </w:rPr>
        <w:t>CEO: Protect hero category — Make Apparel the board-level growth theme; it contributes R1,759,430,045 revenue.</w:t>
      </w:r>
    </w:p>
    <w:p>
      <w:pPr>
        <w:spacing w:after="120"/>
      </w:pPr>
      <w:r>
        <w:rPr>
          <w:b w:val="0"/>
          <w:i w:val="0"/>
          <w:sz w:val="20"/>
        </w:rPr>
        <w:t>CMO: Scale efficient acquisition — Use Direct as always-on efficiency engine with ROAS 100.0x.</w:t>
      </w:r>
    </w:p>
    <w:p>
      <w:pPr>
        <w:spacing w:after="120"/>
      </w:pPr>
      <w:r>
        <w:rPr>
          <w:b w:val="0"/>
          <w:i w:val="0"/>
          <w:sz w:val="20"/>
        </w:rPr>
        <w:t>COO: Reduce return leakage — Investigate Footwear return-rate drivers before increasing media spend.</w:t>
      </w:r>
    </w:p>
    <w:p>
      <w:pPr>
        <w:spacing w:after="120"/>
      </w:pPr>
      <w:r>
        <w:rPr>
          <w:b w:val="0"/>
          <w:i w:val="0"/>
          <w:sz w:val="20"/>
        </w:rPr>
        <w:t>Merchandising: Build margin bundle — Bundle Jacket ADV FlowTour 5.5 - Women with compatible accessories and protection products.</w:t>
      </w:r>
    </w:p>
    <w:p>
      <w:pPr>
        <w:spacing w:after="120"/>
      </w:pPr>
      <w:r>
        <w:rPr>
          <w:b w:val="0"/>
          <w:i w:val="0"/>
          <w:sz w:val="20"/>
        </w:rPr>
        <w:t>Data Governance: Operationalize evidence — Publish source register, row counts, file hashes, capacity status and refresh runbook into monthly close pack.</w:t>
      </w:r>
    </w:p>
    <w:p>
      <w:pPr>
        <w:spacing w:after="120"/>
      </w:pPr>
      <w:r>
        <w:rPr>
          <w:b w:val="0"/>
          <w:i w:val="0"/>
          <w:sz w:val="20"/>
        </w:rPr>
        <w:t>BI Ops: Investigate revenue anomaly — 2025-12 changed 12.6% versus 3-month average.</w:t>
      </w:r>
    </w:p>
    <w:p>
      <w:pPr>
        <w:spacing w:after="80"/>
      </w:pPr>
      <w:r>
        <w:rPr>
          <w:b w:val="0"/>
          <w:i/>
          <w:color w:val="6E6E6E"/>
          <w:sz w:val="20"/>
        </w:rPr>
        <w:t>Ranked by evidence-based priority score (value × confidence, effort-adjusted):</w:t>
      </w:r>
    </w:p>
    <w:p>
      <w:pPr>
        <w:spacing w:after="100"/>
      </w:pPr>
      <w:r>
        <w:rPr>
          <w:b w:val="0"/>
          <w:i w:val="0"/>
          <w:color w:val="6E6E6E"/>
          <w:sz w:val="19"/>
        </w:rPr>
        <w:t>[92] Return leakage reduction sprint — est. value R19,750,642, Medium confidence, Medium effort. Next step: Create return-reason taxonomy and product-level return dashboard.</w:t>
      </w:r>
    </w:p>
    <w:p>
      <w:pPr>
        <w:spacing w:after="100"/>
      </w:pPr>
      <w:r>
        <w:rPr>
          <w:b w:val="0"/>
          <w:i w:val="0"/>
          <w:color w:val="6E6E6E"/>
          <w:sz w:val="19"/>
        </w:rPr>
        <w:t>[90] Hero category availability and SEO program — est. value R12,808,359, High confidence, Medium effort. Next step: Build category scorecard with stockout, ranking, margin and landing page signals.</w:t>
      </w:r>
    </w:p>
    <w:p>
      <w:pPr>
        <w:spacing w:after="100"/>
      </w:pPr>
      <w:r>
        <w:rPr>
          <w:b w:val="0"/>
          <w:i w:val="0"/>
          <w:color w:val="6E6E6E"/>
          <w:sz w:val="19"/>
        </w:rPr>
        <w:t>[88] Margin-positive bundle testing — est. value R19,384,973, Medium confidence, Low effort. Next step: Run A/B test: product page bundle versus normal recommendation carousel.</w:t>
      </w:r>
    </w:p>
    <w:p>
      <w:pPr>
        <w:spacing w:after="100"/>
      </w:pPr>
      <w:r>
        <w:rPr>
          <w:b w:val="0"/>
          <w:i w:val="0"/>
          <w:color w:val="6E6E6E"/>
          <w:sz w:val="19"/>
        </w:rPr>
        <w:t>[84] Channel budget guardrails — est. value R7,753,989, Medium confidence, Low effort. Next step: Set campaign guardrails: minimum ROAS, conversion lift and margin contribution.</w:t>
      </w:r>
    </w:p>
    <w:p>
      <w:pPr>
        <w:spacing w:after="100"/>
      </w:pPr>
      <w:r>
        <w:rPr>
          <w:b w:val="0"/>
          <w:i w:val="0"/>
          <w:color w:val="6E6E6E"/>
          <w:sz w:val="19"/>
        </w:rPr>
        <w:t>[82] SAP close reconciliation automation — est. value Risk reduction / faster close, High confidence, Medium effort. Next step: Schedule monthly exception pack with owner, SLA and SAP account mapping.</w:t>
      </w:r>
    </w:p>
    <w:p>
      <w:pPr>
        <w:spacing w:after="80"/>
      </w:pPr>
      <w:r>
        <w:rPr>
          <w:b/>
          <w:i w:val="0"/>
          <w:color w:val="D71920"/>
          <w:sz w:val="26"/>
        </w:rPr>
        <w:t>4.6 Prevention layer 3 — data controls (stopping bad data before it reaches the board)</w:t>
      </w:r>
    </w:p>
    <w:p>
      <w:pPr>
        <w:spacing w:after="80"/>
      </w:pPr>
      <w:r>
        <w:rPr>
          <w:b w:val="0"/>
          <w:i w:val="0"/>
          <w:color w:val="6E6E6E"/>
          <w:sz w:val="19"/>
        </w:rPr>
        <w:t>Completeness — Daily row count control: Compare ecommerce lines, invoices, payments and refunds by day/month (Daily, owner: Finance Ops)</w:t>
      </w:r>
    </w:p>
    <w:p>
      <w:pPr>
        <w:spacing w:after="80"/>
      </w:pPr>
      <w:r>
        <w:rPr>
          <w:b w:val="0"/>
          <w:i w:val="0"/>
          <w:color w:val="6E6E6E"/>
          <w:sz w:val="19"/>
        </w:rPr>
        <w:t>Accuracy — VAT recalculation: Recompute VAT at 15% and compare to source tax amount within tolerance (Daily, owner: Revenue Accountant)</w:t>
      </w:r>
    </w:p>
    <w:p>
      <w:pPr>
        <w:spacing w:after="80"/>
      </w:pPr>
      <w:r>
        <w:rPr>
          <w:b w:val="0"/>
          <w:i w:val="0"/>
          <w:color w:val="6E6E6E"/>
          <w:sz w:val="19"/>
        </w:rPr>
        <w:t>Validity — SAP document existence: Every BI order/invoice should map to a SAP document number after posting (Daily, owner: SAP Analyst)</w:t>
      </w:r>
    </w:p>
    <w:p>
      <w:pPr>
        <w:spacing w:after="80"/>
      </w:pPr>
      <w:r>
        <w:rPr>
          <w:b w:val="0"/>
          <w:i w:val="0"/>
          <w:color w:val="6E6E6E"/>
          <w:sz w:val="19"/>
        </w:rPr>
        <w:t>Consistency — SKU and GL mapping: Every product category maps to valid SAP item group, revenue account, COGS account and VAT code (Weekly, owner: Data Steward)</w:t>
      </w:r>
    </w:p>
    <w:p>
      <w:pPr>
        <w:spacing w:after="80"/>
      </w:pPr>
      <w:r>
        <w:rPr>
          <w:b w:val="0"/>
          <w:i w:val="0"/>
          <w:color w:val="6E6E6E"/>
          <w:sz w:val="19"/>
        </w:rPr>
        <w:t>Timeliness — Pipeline SLA: Fabric/ADF loads must finish before finance close cut-off (Daily, owner: BI Engineer)</w:t>
      </w:r>
    </w:p>
    <w:p>
      <w:pPr>
        <w:spacing w:after="80"/>
      </w:pPr>
      <w:r>
        <w:rPr>
          <w:b w:val="0"/>
          <w:i w:val="0"/>
          <w:color w:val="6E6E6E"/>
          <w:sz w:val="19"/>
        </w:rPr>
        <w:t>Reconciliation — Sales-to-bank control: Sales incl. VAT less refunds/fees equals payment settlement within timing tolerance (Daily, owner: Finance Ops)</w:t>
      </w:r>
    </w:p>
    <w:p>
      <w:pPr>
        <w:spacing w:after="80"/>
      </w:pPr>
      <w:r>
        <w:rPr>
          <w:b w:val="0"/>
          <w:i w:val="0"/>
          <w:color w:val="6E6E6E"/>
          <w:sz w:val="19"/>
        </w:rPr>
        <w:t>Governance — PII minimization: Hash/anonymize customer identifiers for analytics where detailed identity is not needed (Monthly, owner: Data Owner)</w:t>
      </w:r>
    </w:p>
    <w:p>
      <w:pPr>
        <w:spacing w:after="80"/>
      </w:pPr>
      <w:r>
        <w:rPr>
          <w:b w:val="0"/>
          <w:i w:val="0"/>
          <w:color w:val="6E6E6E"/>
          <w:sz w:val="19"/>
        </w:rPr>
        <w:t>Auditability — Immutable evidence: Persist source files, run logs, row counts, hashes and exception register (Monthly close, owner: Data Governance Lead)</w:t>
      </w:r>
    </w:p>
    <w:p>
      <w:pPr>
        <w:pStyle w:val="Heading1"/>
      </w:pPr>
      <w:r>
        <w:t>5. The growth loop: marketing, SEO, experimentation</w:t>
      </w:r>
    </w:p>
    <w:p>
      <w:pPr>
        <w:spacing w:after="160"/>
      </w:pPr>
      <w:r>
        <w:rPr>
          <w:b w:val="0"/>
          <w:i w:val="0"/>
          <w:sz w:val="22"/>
        </w:rPr>
        <w:t>4 of 6 A/B tests reached statistical significance, worth an estimated R1.3m in incremental revenue if rolled out.</w:t>
      </w:r>
    </w:p>
    <w:p>
      <w:pPr>
        <w:jc w:val="center"/>
      </w:pPr>
      <w:r>
        <w:drawing>
          <wp:inline xmlns:a="http://schemas.openxmlformats.org/drawingml/2006/main" xmlns:pic="http://schemas.openxmlformats.org/drawingml/2006/picture">
            <wp:extent cx="5760720" cy="2839420"/>
            <wp:docPr id="11" name="Picture 11"/>
            <wp:cNvGraphicFramePr>
              <a:graphicFrameLocks noChangeAspect="1"/>
            </wp:cNvGraphicFramePr>
            <a:graphic>
              <a:graphicData uri="http://schemas.openxmlformats.org/drawingml/2006/picture">
                <pic:pic>
                  <pic:nvPicPr>
                    <pic:cNvPr id="0" name="04_roas.png"/>
                    <pic:cNvPicPr/>
                  </pic:nvPicPr>
                  <pic:blipFill>
                    <a:blip r:embed="rId19"/>
                    <a:stretch>
                      <a:fillRect/>
                    </a:stretch>
                  </pic:blipFill>
                  <pic:spPr>
                    <a:xfrm>
                      <a:off x="0" y="0"/>
                      <a:ext cx="5760720" cy="2839420"/>
                    </a:xfrm>
                    <a:prstGeom prst="rect"/>
                  </pic:spPr>
                </pic:pic>
              </a:graphicData>
            </a:graphic>
          </wp:inline>
        </w:drawing>
      </w:r>
    </w:p>
    <w:p>
      <w:pPr>
        <w:spacing w:after="280"/>
        <w:jc w:val="center"/>
      </w:pPr>
      <w:r>
        <w:rPr>
          <w:b w:val="0"/>
          <w:i/>
          <w:color w:val="6E6E6E"/>
          <w:sz w:val="18"/>
        </w:rPr>
        <w:t>Figure 11 — Marketing ROAS by channel.</w:t>
      </w:r>
    </w:p>
    <w:p>
      <w:pPr>
        <w:jc w:val="center"/>
      </w:pPr>
      <w:r>
        <w:drawing>
          <wp:inline xmlns:a="http://schemas.openxmlformats.org/drawingml/2006/main" xmlns:pic="http://schemas.openxmlformats.org/drawingml/2006/picture">
            <wp:extent cx="5760720" cy="2832925"/>
            <wp:docPr id="12" name="Picture 12"/>
            <wp:cNvGraphicFramePr>
              <a:graphicFrameLocks noChangeAspect="1"/>
            </wp:cNvGraphicFramePr>
            <a:graphic>
              <a:graphicData uri="http://schemas.openxmlformats.org/drawingml/2006/picture">
                <pic:pic>
                  <pic:nvPicPr>
                    <pic:cNvPr id="0" name="05_ab_tests.png"/>
                    <pic:cNvPicPr/>
                  </pic:nvPicPr>
                  <pic:blipFill>
                    <a:blip r:embed="rId20"/>
                    <a:stretch>
                      <a:fillRect/>
                    </a:stretch>
                  </pic:blipFill>
                  <pic:spPr>
                    <a:xfrm>
                      <a:off x="0" y="0"/>
                      <a:ext cx="5760720" cy="2832925"/>
                    </a:xfrm>
                    <a:prstGeom prst="rect"/>
                  </pic:spPr>
                </pic:pic>
              </a:graphicData>
            </a:graphic>
          </wp:inline>
        </w:drawing>
      </w:r>
    </w:p>
    <w:p>
      <w:pPr>
        <w:spacing w:after="280"/>
        <w:jc w:val="center"/>
      </w:pPr>
      <w:r>
        <w:rPr>
          <w:b w:val="0"/>
          <w:i/>
          <w:color w:val="6E6E6E"/>
          <w:sz w:val="18"/>
        </w:rPr>
        <w:t>Figure 12 — A/B test results; red bars reached significance.</w:t>
      </w:r>
    </w:p>
    <w:p>
      <w:pPr>
        <w:spacing w:after="80"/>
      </w:pPr>
      <w:r>
        <w:rPr>
          <w:b/>
          <w:i w:val="0"/>
          <w:sz w:val="22"/>
        </w:rPr>
        <w:t>Competitive positioning:</w:t>
      </w:r>
    </w:p>
    <w:p>
      <w:pPr>
        <w:spacing w:after="120"/>
      </w:pPr>
      <w:r>
        <w:rPr>
          <w:b w:val="0"/>
          <w:i w:val="0"/>
          <w:sz w:val="20"/>
        </w:rPr>
        <w:t>Fox Racing — MX and MTB gear leader. Leatt should lean harder into safety science, protection credibility, and South African origin story.</w:t>
      </w:r>
    </w:p>
    <w:p>
      <w:pPr>
        <w:spacing w:after="120"/>
      </w:pPr>
      <w:r>
        <w:rPr>
          <w:b w:val="0"/>
          <w:i w:val="0"/>
          <w:sz w:val="20"/>
        </w:rPr>
        <w:t>Alpinestars — Premium motorsport protection. Compete with test evidence, fit guides, and protection-first product storytelling.</w:t>
      </w:r>
    </w:p>
    <w:p>
      <w:pPr>
        <w:spacing w:after="120"/>
      </w:pPr>
      <w:r>
        <w:rPr>
          <w:b w:val="0"/>
          <w:i w:val="0"/>
          <w:sz w:val="20"/>
        </w:rPr>
        <w:t>100% — Performance eyewear and goggles. For Leatt eyewear, emphasize lens protection, riding conditions, and bundle with helmets.</w:t>
      </w:r>
    </w:p>
    <w:p>
      <w:pPr>
        <w:spacing w:after="120"/>
      </w:pPr>
      <w:r>
        <w:rPr>
          <w:b w:val="0"/>
          <w:i w:val="0"/>
          <w:sz w:val="20"/>
        </w:rPr>
        <w:t>Oakley — Premium sport optics. Leatt must avoid pure optics battle; position eyewear as protection plus ride-specific value.</w:t>
      </w:r>
    </w:p>
    <w:p>
      <w:pPr>
        <w:spacing w:after="120"/>
      </w:pPr>
      <w:r>
        <w:rPr>
          <w:b w:val="0"/>
          <w:i w:val="0"/>
          <w:sz w:val="20"/>
        </w:rPr>
        <w:t>SCOTT — Bike and moto equipment. Use comparison content: Leatt vs Scott by lens, fit, helmet compatibility, price.</w:t>
      </w:r>
    </w:p>
    <w:p>
      <w:pPr>
        <w:pStyle w:val="Heading1"/>
      </w:pPr>
      <w:r>
        <w:t>6. Finance and governance: SAP-ready reconciliation</w:t>
      </w:r>
    </w:p>
    <w:p>
      <w:pPr>
        <w:spacing w:after="160"/>
      </w:pPr>
      <w:r>
        <w:rPr>
          <w:b w:val="0"/>
          <w:i w:val="0"/>
          <w:sz w:val="22"/>
        </w:rPr>
        <w:t>Ecommerce revenue reconciles to VAT, refunds and expected cash — the layer that lets Finance trust the BI numbers enough to post them against SAP Business One or SAP BW.</w:t>
      </w:r>
    </w:p>
    <w:p>
      <w:pPr>
        <w:spacing w:after="160"/>
      </w:pPr>
      <w:r>
        <w:rPr>
          <w:b w:val="0"/>
          <w:i w:val="0"/>
          <w:sz w:val="22"/>
        </w:rPr>
        <w:t>4 of 10 sampled audit exceptions remain open, owned by Finance Ops / Data Steward for resolution — each traceable back to the data controls in section 4.6 that were designed to catch it.</w:t>
      </w:r>
    </w:p>
    <w:p>
      <w:pPr>
        <w:jc w:val="center"/>
      </w:pPr>
      <w:r>
        <w:drawing>
          <wp:inline xmlns:a="http://schemas.openxmlformats.org/drawingml/2006/main" xmlns:pic="http://schemas.openxmlformats.org/drawingml/2006/picture">
            <wp:extent cx="5303520" cy="2981774"/>
            <wp:docPr id="13" name="Picture 13"/>
            <wp:cNvGraphicFramePr>
              <a:graphicFrameLocks noChangeAspect="1"/>
            </wp:cNvGraphicFramePr>
            <a:graphic>
              <a:graphicData uri="http://schemas.openxmlformats.org/drawingml/2006/picture">
                <pic:pic>
                  <pic:nvPicPr>
                    <pic:cNvPr id="0" name="azure_portal_home_costs.png"/>
                    <pic:cNvPicPr/>
                  </pic:nvPicPr>
                  <pic:blipFill>
                    <a:blip r:embed="rId21"/>
                    <a:stretch>
                      <a:fillRect/>
                    </a:stretch>
                  </pic:blipFill>
                  <pic:spPr>
                    <a:xfrm>
                      <a:off x="0" y="0"/>
                      <a:ext cx="5303520" cy="2981774"/>
                    </a:xfrm>
                    <a:prstGeom prst="rect"/>
                  </pic:spPr>
                </pic:pic>
              </a:graphicData>
            </a:graphic>
          </wp:inline>
        </w:drawing>
      </w:r>
    </w:p>
    <w:p>
      <w:pPr>
        <w:spacing w:after="280"/>
        <w:jc w:val="center"/>
      </w:pPr>
      <w:r>
        <w:rPr>
          <w:b w:val="0"/>
          <w:i/>
          <w:color w:val="6E6E6E"/>
          <w:sz w:val="18"/>
        </w:rPr>
        <w:t>Figure 13 — Real Azure portal session, cost dashboard visible.</w:t>
      </w:r>
    </w:p>
    <w:p>
      <w:pPr>
        <w:pStyle w:val="Heading1"/>
      </w:pPr>
      <w:r>
        <w:t>7. Azure and Fabric: cost discipline</w:t>
      </w:r>
    </w:p>
    <w:p>
      <w:pPr>
        <w:spacing w:after="160"/>
      </w:pPr>
      <w:r>
        <w:rPr>
          <w:b w:val="0"/>
          <w:i w:val="0"/>
          <w:sz w:val="22"/>
        </w:rPr>
        <w:t>Fabric F2 capacity is paused by default and only resumed for active work, then suspended again immediately — verified via both the Azure CLI and the portal UI at every check this project has done.</w:t>
      </w:r>
    </w:p>
    <w:p>
      <w:pPr>
        <w:spacing w:after="160"/>
      </w:pPr>
      <w:r>
        <w:rPr>
          <w:b w:val="0"/>
          <w:i w:val="0"/>
          <w:sz w:val="22"/>
        </w:rPr>
        <w:t>Tags on the resource confirm intent: cost-control=delete-or-pause-after-upload, project=leatt-bi-ml, purpose=portfolio-proof. Full timestamped teardown log: docs/AZURE_COST_SHUTDOWN_PROOF.md.</w:t>
      </w:r>
    </w:p>
    <w:p>
      <w:pPr>
        <w:spacing w:after="160"/>
      </w:pPr>
      <w:r>
        <w:rPr>
          <w:b w:val="0"/>
          <w:i/>
          <w:color w:val="6E6E6E"/>
          <w:sz w:val="18"/>
        </w:rPr>
        <w:t>Full source, data and reproduction steps: github.com/anthonyapollis/leatt-fabric-bi-ml-proof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4141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D7192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