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0" w:before="0"/>
        <w:jc w:val="center"/>
      </w:pPr>
      <w:r>
        <w:rPr>
          <w:b/>
          <w:i w:val="0"/>
          <w:color w:val="12305B"/>
          <w:sz w:val="60"/>
        </w:rPr>
        <w:t>Merchant Sales &amp; Voucher</w:t>
      </w:r>
    </w:p>
    <w:p>
      <w:pPr>
        <w:spacing w:after="280" w:before="0"/>
        <w:jc w:val="center"/>
      </w:pPr>
      <w:r>
        <w:rPr>
          <w:b/>
          <w:i w:val="0"/>
          <w:color w:val="0E8B8B"/>
          <w:sz w:val="60"/>
        </w:rPr>
        <w:t>Intelligence Dashboard</w:t>
      </w:r>
    </w:p>
    <w:p>
      <w:pPr>
        <w:spacing w:after="80" w:before="0"/>
        <w:jc w:val="center"/>
      </w:pPr>
      <w:r>
        <w:rPr>
          <w:b w:val="0"/>
          <w:i/>
          <w:color w:val="5A6672"/>
          <w:sz w:val="26"/>
        </w:rPr>
        <w:t>BI Developer — Second-Round Practical Task</w:t>
      </w:r>
    </w:p>
    <w:p>
      <w:pPr>
        <w:spacing w:after="600" w:before="0"/>
        <w:jc w:val="center"/>
      </w:pPr>
      <w:r>
        <w:rPr>
          <w:b w:val="0"/>
          <w:i w:val="0"/>
          <w:color w:val="0E8B8B"/>
          <w:sz w:val="22"/>
        </w:rPr>
        <w:t>Microsoft Fabric · Power BI · dbt · SQL · Python ML</w:t>
      </w:r>
    </w:p>
    <w:tbl>
      <w:tblPr>
        <w:tblStyle w:val="TableGrid"/>
        <w:tblW w:type="auto" w:w="0"/>
        <w:jc w:val="center"/>
        <w:tblLook w:firstColumn="1" w:firstRow="1" w:lastColumn="0" w:lastRow="0" w:noHBand="0" w:noVBand="1" w:val="04A0"/>
      </w:tblPr>
      <w:tblGrid>
        <w:gridCol w:w="4929"/>
        <w:gridCol w:w="4929"/>
      </w:tblGrid>
      <w:tr>
        <w:tc>
          <w:tcPr>
            <w:tcW w:type="dxa" w:w="2381"/>
            <w:shd w:val="clear" w:fill="12305B"/>
          </w:tcPr>
          <w:p>
            <w:pPr>
              <w:spacing w:after="40" w:before="40"/>
            </w:pPr>
            <w:r/>
            <w:r>
              <w:rPr>
                <w:b/>
                <w:color w:val="FFFFFF"/>
                <w:sz w:val="19"/>
              </w:rPr>
              <w:t>Deliverable</w:t>
            </w:r>
          </w:p>
        </w:tc>
        <w:tc>
          <w:tcPr>
            <w:tcW w:type="dxa" w:w="7030"/>
            <w:shd w:val="clear" w:fill="12305B"/>
          </w:tcPr>
          <w:p>
            <w:pPr>
              <w:spacing w:after="40" w:before="40"/>
            </w:pPr>
            <w:r/>
            <w:r>
              <w:rPr>
                <w:b/>
                <w:color w:val="FFFFFF"/>
                <w:sz w:val="19"/>
              </w:rPr>
              <w:t>Detail</w:t>
            </w:r>
          </w:p>
        </w:tc>
      </w:tr>
      <w:tr>
        <w:tc>
          <w:tcPr>
            <w:tcW w:type="dxa" w:w="2381"/>
          </w:tcPr>
          <w:p>
            <w:pPr>
              <w:spacing w:after="40" w:before="40"/>
            </w:pPr>
            <w:r/>
            <w:r>
              <w:rPr>
                <w:sz w:val="19"/>
              </w:rPr>
              <w:t>Reporting period</w:t>
            </w:r>
          </w:p>
        </w:tc>
        <w:tc>
          <w:tcPr>
            <w:tcW w:type="dxa" w:w="7030"/>
          </w:tcPr>
          <w:p>
            <w:pPr>
              <w:spacing w:after="40" w:before="40"/>
            </w:pPr>
            <w:r/>
            <w:r>
              <w:rPr>
                <w:sz w:val="19"/>
              </w:rPr>
              <w:t>1 January 2026 – 31 July 2026 (212 days)</w:t>
            </w:r>
          </w:p>
        </w:tc>
      </w:tr>
      <w:tr>
        <w:tc>
          <w:tcPr>
            <w:tcW w:type="dxa" w:w="2381"/>
            <w:shd w:val="clear" w:fill="F2F6FB"/>
          </w:tcPr>
          <w:p>
            <w:pPr>
              <w:spacing w:after="40" w:before="40"/>
            </w:pPr>
            <w:r/>
            <w:r>
              <w:rPr>
                <w:sz w:val="19"/>
              </w:rPr>
              <w:t>Data volume</w:t>
            </w:r>
          </w:p>
        </w:tc>
        <w:tc>
          <w:tcPr>
            <w:tcW w:type="dxa" w:w="7030"/>
            <w:shd w:val="clear" w:fill="F2F6FB"/>
          </w:tcPr>
          <w:p>
            <w:pPr>
              <w:spacing w:after="40" w:before="40"/>
            </w:pPr>
            <w:r/>
            <w:r>
              <w:rPr>
                <w:sz w:val="19"/>
              </w:rPr>
              <w:t>120,969 vouchers · 26,500 daily sales rows · 1,363 tickets · 25 merchants</w:t>
            </w:r>
          </w:p>
        </w:tc>
      </w:tr>
      <w:tr>
        <w:tc>
          <w:tcPr>
            <w:tcW w:type="dxa" w:w="2381"/>
          </w:tcPr>
          <w:p>
            <w:pPr>
              <w:spacing w:after="40" w:before="40"/>
            </w:pPr>
            <w:r/>
            <w:r>
              <w:rPr>
                <w:sz w:val="19"/>
              </w:rPr>
              <w:t>Architecture</w:t>
            </w:r>
          </w:p>
        </w:tc>
        <w:tc>
          <w:tcPr>
            <w:tcW w:type="dxa" w:w="7030"/>
          </w:tcPr>
          <w:p>
            <w:pPr>
              <w:spacing w:after="40" w:before="40"/>
            </w:pPr>
            <w:r/>
            <w:r>
              <w:rPr>
                <w:sz w:val="19"/>
              </w:rPr>
              <w:t>Fabric medallion (bronze / silver / gold) → Kimball star schema → Power BI Direct Lake</w:t>
            </w:r>
          </w:p>
        </w:tc>
      </w:tr>
      <w:tr>
        <w:tc>
          <w:tcPr>
            <w:tcW w:type="dxa" w:w="2381"/>
            <w:shd w:val="clear" w:fill="F2F6FB"/>
          </w:tcPr>
          <w:p>
            <w:pPr>
              <w:spacing w:after="40" w:before="40"/>
            </w:pPr>
            <w:r/>
            <w:r>
              <w:rPr>
                <w:sz w:val="19"/>
              </w:rPr>
              <w:t>Transformation</w:t>
            </w:r>
          </w:p>
        </w:tc>
        <w:tc>
          <w:tcPr>
            <w:tcW w:type="dxa" w:w="7030"/>
            <w:shd w:val="clear" w:fill="F2F6FB"/>
          </w:tcPr>
          <w:p>
            <w:pPr>
              <w:spacing w:after="40" w:before="40"/>
            </w:pPr>
            <w:r/>
            <w:r>
              <w:rPr>
                <w:sz w:val="19"/>
              </w:rPr>
              <w:t>dbt: 18 models, 1 snapshot (SCD2), 132 tests, 4 seeds, 3 exposures</w:t>
            </w:r>
          </w:p>
        </w:tc>
      </w:tr>
      <w:tr>
        <w:tc>
          <w:tcPr>
            <w:tcW w:type="dxa" w:w="2381"/>
          </w:tcPr>
          <w:p>
            <w:pPr>
              <w:spacing w:after="40" w:before="40"/>
            </w:pPr>
            <w:r/>
            <w:r>
              <w:rPr>
                <w:sz w:val="19"/>
              </w:rPr>
              <w:t>Orchestration</w:t>
            </w:r>
          </w:p>
        </w:tc>
        <w:tc>
          <w:tcPr>
            <w:tcW w:type="dxa" w:w="7030"/>
          </w:tcPr>
          <w:p>
            <w:pPr>
              <w:spacing w:after="40" w:before="40"/>
            </w:pPr>
            <w:r/>
            <w:r>
              <w:rPr>
                <w:sz w:val="19"/>
              </w:rPr>
              <w:t>Data Factory pipeline, metadata-driven, daily 02:00 SAST</w:t>
            </w:r>
          </w:p>
        </w:tc>
      </w:tr>
      <w:tr>
        <w:tc>
          <w:tcPr>
            <w:tcW w:type="dxa" w:w="2381"/>
            <w:shd w:val="clear" w:fill="F2F6FB"/>
          </w:tcPr>
          <w:p>
            <w:pPr>
              <w:spacing w:after="40" w:before="40"/>
            </w:pPr>
            <w:r/>
            <w:r>
              <w:rPr>
                <w:sz w:val="19"/>
              </w:rPr>
              <w:t>Semantic model</w:t>
            </w:r>
          </w:p>
        </w:tc>
        <w:tc>
          <w:tcPr>
            <w:tcW w:type="dxa" w:w="7030"/>
            <w:shd w:val="clear" w:fill="F2F6FB"/>
          </w:tcPr>
          <w:p>
            <w:pPr>
              <w:spacing w:after="40" w:before="40"/>
            </w:pPr>
            <w:r/>
            <w:r>
              <w:rPr>
                <w:sz w:val="19"/>
              </w:rPr>
              <w:t>6 dimensions · 4 facts · 1 analytics mart · 31+ validated DAX measures</w:t>
            </w:r>
          </w:p>
        </w:tc>
      </w:tr>
      <w:tr>
        <w:tc>
          <w:tcPr>
            <w:tcW w:type="dxa" w:w="2381"/>
          </w:tcPr>
          <w:p>
            <w:pPr>
              <w:spacing w:after="40" w:before="40"/>
            </w:pPr>
            <w:r/>
            <w:r>
              <w:rPr>
                <w:sz w:val="19"/>
              </w:rPr>
              <w:t>AI extension</w:t>
            </w:r>
          </w:p>
        </w:tc>
        <w:tc>
          <w:tcPr>
            <w:tcW w:type="dxa" w:w="7030"/>
          </w:tcPr>
          <w:p>
            <w:pPr>
              <w:spacing w:after="40" w:before="40"/>
            </w:pPr>
            <w:r/>
            <w:r>
              <w:rPr>
                <w:sz w:val="19"/>
              </w:rPr>
              <w:t>5 models: anomaly detection, propensity, regression, forecasting, segmentation</w:t>
            </w:r>
          </w:p>
        </w:tc>
      </w:tr>
      <w:tr>
        <w:tc>
          <w:tcPr>
            <w:tcW w:type="dxa" w:w="2381"/>
            <w:shd w:val="clear" w:fill="F2F6FB"/>
          </w:tcPr>
          <w:p>
            <w:pPr>
              <w:spacing w:after="40" w:before="40"/>
            </w:pPr>
            <w:r/>
            <w:r>
              <w:rPr>
                <w:sz w:val="19"/>
              </w:rPr>
              <w:t>Quality gates</w:t>
            </w:r>
          </w:p>
        </w:tc>
        <w:tc>
          <w:tcPr>
            <w:tcW w:type="dxa" w:w="7030"/>
            <w:shd w:val="clear" w:fill="F2F6FB"/>
          </w:tcPr>
          <w:p>
            <w:pPr>
              <w:spacing w:after="40" w:before="40"/>
            </w:pPr>
            <w:r/>
            <w:r>
              <w:rPr>
                <w:sz w:val="19"/>
              </w:rPr>
              <w:t>14 warehouse tests · 132 dbt tests (153 pass on build, 0 warn, 0 error) · 7 SCD2 assertions · 27/28 reconciliation checks</w:t>
            </w:r>
          </w:p>
        </w:tc>
      </w:tr>
    </w:tbl>
    <w:p>
      <w:pPr>
        <w:spacing w:after="80"/>
      </w:pPr>
    </w:p>
    <w:p/>
    <w:p>
      <w:pPr>
        <w:spacing w:after="40" w:before="0"/>
        <w:jc w:val="center"/>
      </w:pPr>
      <w:r>
        <w:rPr>
          <w:b/>
          <w:i w:val="0"/>
          <w:color w:val="12305B"/>
          <w:sz w:val="24"/>
        </w:rPr>
        <w:t>Anthony Apollis</w:t>
      </w:r>
    </w:p>
    <w:p>
      <w:pPr>
        <w:spacing w:after="140" w:before="0"/>
        <w:jc w:val="center"/>
      </w:pPr>
      <w:r>
        <w:rPr>
          <w:b w:val="0"/>
          <w:i/>
          <w:color w:val="5A6672"/>
          <w:sz w:val="20"/>
        </w:rPr>
        <w:t>11 August 2026</w:t>
      </w:r>
    </w:p>
    <w:p>
      <w:r>
        <w:br w:type="page"/>
      </w:r>
    </w:p>
    <w:p>
      <w:pPr>
        <w:pStyle w:val="Heading1"/>
      </w:pPr>
      <w:r>
        <w:t>1. Executive summary</w:t>
      </w:r>
    </w:p>
    <w:p>
      <w:pPr>
        <w:spacing w:after="140" w:before="0"/>
      </w:pPr>
      <w:r>
        <w:rPr>
          <w:b w:val="0"/>
          <w:i w:val="0"/>
          <w:sz w:val="21"/>
        </w:rPr>
        <w:t>This solution delivers a production-minded analytics stack over the supplied merchant voucher data: a Fabric medallion pipeline feeding a Kimball star schema, a dbt transformation layer with a 69-test suite, a four-page Power BI report, and five machine-learning models covering anomaly detection through to forecasting. Every number in every artefact traces to a single gold layer.</w:t>
      </w:r>
    </w:p>
    <w:p>
      <w:pPr>
        <w:pStyle w:val="Heading2"/>
      </w:pPr>
      <w:r>
        <w:t>Headline figures</w:t>
      </w:r>
    </w:p>
    <w:tbl>
      <w:tblPr>
        <w:tblStyle w:val="TableGrid"/>
        <w:tblW w:type="auto" w:w="0"/>
        <w:jc w:val="center"/>
        <w:tblLook w:firstColumn="1" w:firstRow="1" w:lastColumn="0" w:lastRow="0" w:noHBand="0" w:noVBand="1" w:val="04A0"/>
      </w:tblPr>
      <w:tblGrid>
        <w:gridCol w:w="3286"/>
        <w:gridCol w:w="3286"/>
        <w:gridCol w:w="3286"/>
      </w:tblGrid>
      <w:tr>
        <w:tc>
          <w:tcPr>
            <w:tcW w:type="dxa" w:w="2608"/>
            <w:shd w:val="clear" w:fill="12305B"/>
          </w:tcPr>
          <w:p>
            <w:pPr>
              <w:spacing w:after="40" w:before="40"/>
            </w:pPr>
            <w:r/>
            <w:r>
              <w:rPr>
                <w:b/>
                <w:color w:val="FFFFFF"/>
                <w:sz w:val="18"/>
              </w:rPr>
              <w:t>Metric</w:t>
            </w:r>
          </w:p>
        </w:tc>
        <w:tc>
          <w:tcPr>
            <w:tcW w:type="dxa" w:w="1814"/>
            <w:shd w:val="clear" w:fill="12305B"/>
          </w:tcPr>
          <w:p>
            <w:pPr>
              <w:spacing w:after="40" w:before="40"/>
              <w:jc w:val="right"/>
            </w:pPr>
            <w:r/>
            <w:r>
              <w:rPr>
                <w:b/>
                <w:color w:val="FFFFFF"/>
                <w:sz w:val="18"/>
              </w:rPr>
              <w:t>Value</w:t>
            </w:r>
          </w:p>
        </w:tc>
        <w:tc>
          <w:tcPr>
            <w:tcW w:type="dxa" w:w="4989"/>
            <w:shd w:val="clear" w:fill="12305B"/>
          </w:tcPr>
          <w:p>
            <w:pPr>
              <w:spacing w:after="40" w:before="40"/>
            </w:pPr>
            <w:r/>
            <w:r>
              <w:rPr>
                <w:b/>
                <w:color w:val="FFFFFF"/>
                <w:sz w:val="18"/>
              </w:rPr>
              <w:t>Note</w:t>
            </w:r>
          </w:p>
        </w:tc>
      </w:tr>
      <w:tr>
        <w:tc>
          <w:tcPr>
            <w:tcW w:type="dxa" w:w="2608"/>
          </w:tcPr>
          <w:p>
            <w:pPr>
              <w:spacing w:after="40" w:before="40"/>
            </w:pPr>
            <w:r/>
            <w:r>
              <w:rPr>
                <w:sz w:val="18"/>
              </w:rPr>
              <w:t>Total sales</w:t>
            </w:r>
          </w:p>
        </w:tc>
        <w:tc>
          <w:tcPr>
            <w:tcW w:type="dxa" w:w="1814"/>
          </w:tcPr>
          <w:p>
            <w:pPr>
              <w:spacing w:after="40" w:before="40"/>
              <w:jc w:val="right"/>
            </w:pPr>
            <w:r/>
            <w:r>
              <w:rPr>
                <w:sz w:val="18"/>
              </w:rPr>
              <w:t>R65.5m</w:t>
            </w:r>
          </w:p>
        </w:tc>
        <w:tc>
          <w:tcPr>
            <w:tcW w:type="dxa" w:w="4989"/>
          </w:tcPr>
          <w:p>
            <w:pPr>
              <w:spacing w:after="40" w:before="40"/>
            </w:pPr>
            <w:r/>
            <w:r>
              <w:rPr>
                <w:sz w:val="18"/>
              </w:rPr>
              <w:t>510,127 transactions, avg basket R128</w:t>
            </w:r>
          </w:p>
        </w:tc>
      </w:tr>
      <w:tr>
        <w:tc>
          <w:tcPr>
            <w:tcW w:type="dxa" w:w="2608"/>
            <w:shd w:val="clear" w:fill="F2F6FB"/>
          </w:tcPr>
          <w:p>
            <w:pPr>
              <w:spacing w:after="40" w:before="40"/>
            </w:pPr>
            <w:r/>
            <w:r>
              <w:rPr>
                <w:sz w:val="18"/>
              </w:rPr>
              <w:t>Redemption rate</w:t>
            </w:r>
          </w:p>
        </w:tc>
        <w:tc>
          <w:tcPr>
            <w:tcW w:type="dxa" w:w="1814"/>
            <w:shd w:val="clear" w:fill="F2F6FB"/>
          </w:tcPr>
          <w:p>
            <w:pPr>
              <w:spacing w:after="40" w:before="40"/>
              <w:jc w:val="right"/>
            </w:pPr>
            <w:r/>
            <w:r>
              <w:rPr>
                <w:sz w:val="18"/>
              </w:rPr>
              <w:t>84.2%</w:t>
            </w:r>
          </w:p>
        </w:tc>
        <w:tc>
          <w:tcPr>
            <w:tcW w:type="dxa" w:w="4989"/>
            <w:shd w:val="clear" w:fill="F2F6FB"/>
          </w:tcPr>
          <w:p>
            <w:pPr>
              <w:spacing w:after="40" w:before="40"/>
            </w:pPr>
            <w:r/>
            <w:r>
              <w:rPr>
                <w:sz w:val="18"/>
              </w:rPr>
              <w:t>101,843 of 120,969 vouchers</w:t>
            </w:r>
          </w:p>
        </w:tc>
      </w:tr>
      <w:tr>
        <w:tc>
          <w:tcPr>
            <w:tcW w:type="dxa" w:w="2608"/>
          </w:tcPr>
          <w:p>
            <w:pPr>
              <w:spacing w:after="40" w:before="40"/>
            </w:pPr>
            <w:r/>
            <w:r>
              <w:rPr>
                <w:sz w:val="18"/>
              </w:rPr>
              <w:t>Avg days to redeem</w:t>
            </w:r>
          </w:p>
        </w:tc>
        <w:tc>
          <w:tcPr>
            <w:tcW w:type="dxa" w:w="1814"/>
          </w:tcPr>
          <w:p>
            <w:pPr>
              <w:spacing w:after="40" w:before="40"/>
              <w:jc w:val="right"/>
            </w:pPr>
            <w:r/>
            <w:r>
              <w:rPr>
                <w:sz w:val="18"/>
              </w:rPr>
              <w:t>3.58</w:t>
            </w:r>
          </w:p>
        </w:tc>
        <w:tc>
          <w:tcPr>
            <w:tcW w:type="dxa" w:w="4989"/>
          </w:tcPr>
          <w:p>
            <w:pPr>
              <w:spacing w:after="40" w:before="40"/>
            </w:pPr>
            <w:r/>
            <w:r>
              <w:rPr>
                <w:sz w:val="18"/>
              </w:rPr>
              <w:t>median 2 days, max 54</w:t>
            </w:r>
          </w:p>
        </w:tc>
      </w:tr>
      <w:tr>
        <w:tc>
          <w:tcPr>
            <w:tcW w:type="dxa" w:w="2608"/>
            <w:shd w:val="clear" w:fill="F2F6FB"/>
          </w:tcPr>
          <w:p>
            <w:pPr>
              <w:spacing w:after="40" w:before="40"/>
            </w:pPr>
            <w:r/>
            <w:r>
              <w:rPr>
                <w:sz w:val="18"/>
              </w:rPr>
              <w:t>Delayed redemption rate</w:t>
            </w:r>
          </w:p>
        </w:tc>
        <w:tc>
          <w:tcPr>
            <w:tcW w:type="dxa" w:w="1814"/>
            <w:shd w:val="clear" w:fill="F2F6FB"/>
          </w:tcPr>
          <w:p>
            <w:pPr>
              <w:spacing w:after="40" w:before="40"/>
              <w:jc w:val="right"/>
            </w:pPr>
            <w:r/>
            <w:r>
              <w:rPr>
                <w:sz w:val="18"/>
              </w:rPr>
              <w:t>13.9%</w:t>
            </w:r>
          </w:p>
        </w:tc>
        <w:tc>
          <w:tcPr>
            <w:tcW w:type="dxa" w:w="4989"/>
            <w:shd w:val="clear" w:fill="F2F6FB"/>
          </w:tcPr>
          <w:p>
            <w:pPr>
              <w:spacing w:after="40" w:before="40"/>
            </w:pPr>
            <w:r/>
            <w:r>
              <w:rPr>
                <w:sz w:val="18"/>
              </w:rPr>
              <w:t>redeemed after &gt; 7 days</w:t>
            </w:r>
          </w:p>
        </w:tc>
      </w:tr>
      <w:tr>
        <w:tc>
          <w:tcPr>
            <w:tcW w:type="dxa" w:w="2608"/>
          </w:tcPr>
          <w:p>
            <w:pPr>
              <w:spacing w:after="40" w:before="40"/>
            </w:pPr>
            <w:r/>
            <w:r>
              <w:rPr>
                <w:sz w:val="18"/>
              </w:rPr>
              <w:t>Outstanding liability</w:t>
            </w:r>
          </w:p>
        </w:tc>
        <w:tc>
          <w:tcPr>
            <w:tcW w:type="dxa" w:w="1814"/>
          </w:tcPr>
          <w:p>
            <w:pPr>
              <w:spacing w:after="40" w:before="40"/>
              <w:jc w:val="right"/>
            </w:pPr>
            <w:r/>
            <w:r>
              <w:rPr>
                <w:sz w:val="18"/>
              </w:rPr>
              <w:t>R3.5m</w:t>
            </w:r>
          </w:p>
        </w:tc>
        <w:tc>
          <w:tcPr>
            <w:tcW w:type="dxa" w:w="4989"/>
          </w:tcPr>
          <w:p>
            <w:pPr>
              <w:spacing w:after="40" w:before="40"/>
            </w:pPr>
            <w:r/>
            <w:r>
              <w:rPr>
                <w:sz w:val="18"/>
              </w:rPr>
              <w:t>unredeemed voucher value</w:t>
            </w:r>
          </w:p>
        </w:tc>
      </w:tr>
      <w:tr>
        <w:tc>
          <w:tcPr>
            <w:tcW w:type="dxa" w:w="2608"/>
            <w:shd w:val="clear" w:fill="F2F6FB"/>
          </w:tcPr>
          <w:p>
            <w:pPr>
              <w:spacing w:after="40" w:before="40"/>
            </w:pPr>
            <w:r/>
            <w:r>
              <w:rPr>
                <w:sz w:val="18"/>
              </w:rPr>
              <w:t>Avg resolution hours</w:t>
            </w:r>
          </w:p>
        </w:tc>
        <w:tc>
          <w:tcPr>
            <w:tcW w:type="dxa" w:w="1814"/>
            <w:shd w:val="clear" w:fill="F2F6FB"/>
          </w:tcPr>
          <w:p>
            <w:pPr>
              <w:spacing w:after="40" w:before="40"/>
              <w:jc w:val="right"/>
            </w:pPr>
            <w:r/>
            <w:r>
              <w:rPr>
                <w:sz w:val="18"/>
              </w:rPr>
              <w:t>23.7</w:t>
            </w:r>
          </w:p>
        </w:tc>
        <w:tc>
          <w:tcPr>
            <w:tcW w:type="dxa" w:w="4989"/>
            <w:shd w:val="clear" w:fill="F2F6FB"/>
          </w:tcPr>
          <w:p>
            <w:pPr>
              <w:spacing w:after="40" w:before="40"/>
            </w:pPr>
            <w:r/>
            <w:r>
              <w:rPr>
                <w:sz w:val="18"/>
              </w:rPr>
              <w:t>median 16.4h — right-skewed</w:t>
            </w:r>
          </w:p>
        </w:tc>
      </w:tr>
      <w:tr>
        <w:tc>
          <w:tcPr>
            <w:tcW w:type="dxa" w:w="2608"/>
          </w:tcPr>
          <w:p>
            <w:pPr>
              <w:spacing w:after="40" w:before="40"/>
            </w:pPr>
            <w:r/>
            <w:r>
              <w:rPr>
                <w:sz w:val="18"/>
              </w:rPr>
              <w:t>SLA breach rate</w:t>
            </w:r>
          </w:p>
        </w:tc>
        <w:tc>
          <w:tcPr>
            <w:tcW w:type="dxa" w:w="1814"/>
          </w:tcPr>
          <w:p>
            <w:pPr>
              <w:spacing w:after="40" w:before="40"/>
              <w:jc w:val="right"/>
            </w:pPr>
            <w:r/>
            <w:r>
              <w:rPr>
                <w:sz w:val="18"/>
              </w:rPr>
              <w:t>26.3%</w:t>
            </w:r>
          </w:p>
        </w:tc>
        <w:tc>
          <w:tcPr>
            <w:tcW w:type="dxa" w:w="4989"/>
          </w:tcPr>
          <w:p>
            <w:pPr>
              <w:spacing w:after="40" w:before="40"/>
            </w:pPr>
            <w:r/>
            <w:r>
              <w:rPr>
                <w:sz w:val="18"/>
              </w:rPr>
              <w:t>94.7% of breaches sit on High/Critical</w:t>
            </w:r>
          </w:p>
        </w:tc>
      </w:tr>
      <w:tr>
        <w:tc>
          <w:tcPr>
            <w:tcW w:type="dxa" w:w="2608"/>
            <w:shd w:val="clear" w:fill="F2F6FB"/>
          </w:tcPr>
          <w:p>
            <w:pPr>
              <w:spacing w:after="40" w:before="40"/>
            </w:pPr>
            <w:r/>
            <w:r>
              <w:rPr>
                <w:sz w:val="18"/>
              </w:rPr>
              <w:t>Open ticket backlog</w:t>
            </w:r>
          </w:p>
        </w:tc>
        <w:tc>
          <w:tcPr>
            <w:tcW w:type="dxa" w:w="1814"/>
            <w:shd w:val="clear" w:fill="F2F6FB"/>
          </w:tcPr>
          <w:p>
            <w:pPr>
              <w:spacing w:after="40" w:before="40"/>
              <w:jc w:val="right"/>
            </w:pPr>
            <w:r/>
            <w:r>
              <w:rPr>
                <w:sz w:val="18"/>
              </w:rPr>
              <w:t>239</w:t>
            </w:r>
          </w:p>
        </w:tc>
        <w:tc>
          <w:tcPr>
            <w:tcW w:type="dxa" w:w="4989"/>
            <w:shd w:val="clear" w:fill="F2F6FB"/>
          </w:tcPr>
          <w:p>
            <w:pPr>
              <w:spacing w:after="40" w:before="40"/>
            </w:pPr>
            <w:r/>
            <w:r>
              <w:rPr>
                <w:sz w:val="18"/>
              </w:rPr>
              <w:t>Open, Escalated or Pending Merchant</w:t>
            </w:r>
          </w:p>
        </w:tc>
      </w:tr>
    </w:tbl>
    <w:p>
      <w:pPr>
        <w:spacing w:after="80"/>
      </w:pPr>
    </w:p>
    <w:p>
      <w:pPr>
        <w:pStyle w:val="Heading2"/>
      </w:pPr>
      <w:r>
        <w:t>The four findings that matter</w:t>
      </w:r>
    </w:p>
    <w:p>
      <w:pPr>
        <w:spacing w:after="140"/>
      </w:pPr>
      <w:r>
        <w:rPr>
          <w:b/>
          <w:color w:val="12305B"/>
          <w:sz w:val="21"/>
        </w:rPr>
        <w:t xml:space="preserve">1. One merchant is failing, and it is an operational failure, not a demand problem. </w:t>
      </w:r>
      <w:r>
        <w:rPr>
          <w:b w:val="0"/>
          <w:sz w:val="21"/>
        </w:rPr>
        <w:t xml:space="preserve">Umhlanga Value Mart's July sales fell 42.5% against its own prior three-month average while support tickets rose 693% in the same month. The two moving together points to a service breakdown causing commercial damage — which means it is plausibly recoverable. Annualised revenue at risk is </w:t>
      </w:r>
      <w:r>
        <w:rPr>
          <w:b/>
          <w:color w:val="C0392B"/>
          <w:sz w:val="21"/>
        </w:rPr>
        <w:t>R571,518</w:t>
      </w:r>
      <w:r>
        <w:rPr>
          <w:b w:val="0"/>
          <w:sz w:val="21"/>
        </w:rPr>
        <w:t>.</w:t>
      </w:r>
    </w:p>
    <w:p>
      <w:pPr>
        <w:spacing w:after="140"/>
      </w:pPr>
      <w:r>
        <w:rPr>
          <w:b/>
          <w:color w:val="12305B"/>
          <w:sz w:val="21"/>
        </w:rPr>
        <w:t xml:space="preserve">2. The SLA policy is configured backwards. </w:t>
      </w:r>
      <w:r>
        <w:rPr>
          <w:b w:val="0"/>
          <w:sz w:val="21"/>
        </w:rPr>
        <w:t xml:space="preserve">Critical tickets are given a 12-hour target but take 52.7 hours on average — a 98.3% breach rate. Low-priority tickets are given 48 hours and take 11.3 — a 0.2% breach rate. Because the ladder runs opposite to the actual workload, </w:t>
      </w:r>
      <w:r>
        <w:rPr>
          <w:b/>
          <w:color w:val="C0392B"/>
          <w:sz w:val="21"/>
        </w:rPr>
        <w:t>94.7% of all 358 breaches land on High and Critical</w:t>
      </w:r>
      <w:r>
        <w:rPr>
          <w:b w:val="0"/>
          <w:sz w:val="21"/>
        </w:rPr>
        <w:t>. The reported 26% breach rate is measuring a policy misconfiguration, not team performance.</w:t>
      </w:r>
    </w:p>
    <w:p>
      <w:pPr>
        <w:spacing w:after="140"/>
      </w:pPr>
      <w:r>
        <w:rPr>
          <w:b/>
          <w:color w:val="12305B"/>
          <w:sz w:val="21"/>
        </w:rPr>
        <w:t xml:space="preserve">3. Eastern Cape is the one declining region, on four independent signals. </w:t>
      </w:r>
      <w:r>
        <w:rPr>
          <w:b w:val="0"/>
          <w:sz w:val="21"/>
        </w:rPr>
        <w:t>It is the only region that peaked before July, sits 9.8% below its own peak while every other region is at its peak, has the flattest trend slope (+2.0% of average monthly sales vs +4.4% to +8.5%), and fell 12.2% in June against +1.4% to +3.8% elsewhere. Three of the five Critical/Watch merchants sit there.</w:t>
      </w:r>
    </w:p>
    <w:p>
      <w:pPr>
        <w:spacing w:after="140"/>
      </w:pPr>
      <w:r>
        <w:rPr>
          <w:b/>
          <w:color w:val="12305B"/>
          <w:sz w:val="21"/>
        </w:rPr>
        <w:t xml:space="preserve">4. Operational friction does NOT predict merchant performance — and the obvious analysis says it does. </w:t>
      </w:r>
      <w:r>
        <w:rPr>
          <w:b w:val="0"/>
          <w:sz w:val="21"/>
        </w:rPr>
        <w:t>Tickets per 1,000 transactions correlates with target attainment at r = -0.56, which looks conclusive. It is confounded: the ratio is size-dependent (r = -0.83 against log total sales), so small merchants score badly purely because the denominator is small. Controlling for size, the partial correlation collapses to r = -0.20</w:t>
      </w:r>
      <w:r>
        <w:rPr>
          <w:b w:val="0"/>
          <w:sz w:val="21"/>
        </w:rPr>
        <w:t>. Reporting the raw correlation would have been a confounded finding presented as a causal one.</w:t>
      </w:r>
    </w:p>
    <w:p>
      <w:pPr>
        <w:spacing w:after="140"/>
      </w:pPr>
      <w:r>
        <w:rPr>
          <w:b/>
          <w:color w:val="12305B"/>
          <w:sz w:val="21"/>
        </w:rPr>
        <w:t xml:space="preserve">5. The CRM 'At Risk' flag has zero overlap with actual deterioration. </w:t>
      </w:r>
      <w:r>
        <w:rPr>
          <w:b w:val="0"/>
          <w:sz w:val="21"/>
        </w:rPr>
        <w:t xml:space="preserve">Both merchants flagged At Risk are </w:t>
      </w:r>
      <w:r>
        <w:rPr>
          <w:b/>
          <w:sz w:val="21"/>
        </w:rPr>
        <w:t>growing</w:t>
      </w:r>
      <w:r>
        <w:rPr>
          <w:b w:val="0"/>
          <w:sz w:val="21"/>
        </w:rPr>
        <w:t xml:space="preserve"> and score Healthy (61.7 and 68.3). Every merchant in genuine decline — including the one losing R571,518 annualised — is flagged 'Active'. </w:t>
      </w:r>
      <w:r>
        <w:rPr>
          <w:b/>
          <w:color w:val="C0392B"/>
          <w:sz w:val="21"/>
        </w:rPr>
        <w:t>R1,079,726</w:t>
      </w:r>
      <w:r>
        <w:rPr>
          <w:b w:val="0"/>
          <w:sz w:val="21"/>
        </w:rPr>
        <w:t xml:space="preserve"> of at-risk revenue sits in merchants the CRM considers fine. The existing manual flag is not detecting the problem it exists to detect, which is the clearest argument for a computed health score.</w:t>
      </w:r>
    </w:p>
    <w:p>
      <w:pPr>
        <w:spacing w:after="140"/>
      </w:pPr>
      <w:r>
        <w:rPr>
          <w:b/>
          <w:color w:val="12305B"/>
          <w:sz w:val="21"/>
        </w:rPr>
        <w:t xml:space="preserve">6. The open-ticket backlog is two problems, not one. </w:t>
      </w:r>
      <w:r>
        <w:rPr>
          <w:b w:val="0"/>
          <w:sz w:val="21"/>
        </w:rPr>
        <w:t xml:space="preserve">Of 239 open tickets, </w:t>
      </w:r>
      <w:r>
        <w:rPr>
          <w:b/>
          <w:sz w:val="21"/>
        </w:rPr>
        <w:t>146 are awaiting us</w:t>
      </w:r>
      <w:r>
        <w:rPr>
          <w:b w:val="0"/>
          <w:sz w:val="21"/>
        </w:rPr>
        <w:t xml:space="preserve"> (Open + Escalated) and </w:t>
      </w:r>
      <w:r>
        <w:rPr>
          <w:b/>
          <w:sz w:val="21"/>
        </w:rPr>
        <w:t>93 are awaiting the customer</w:t>
      </w:r>
      <w:r>
        <w:rPr>
          <w:b w:val="0"/>
          <w:sz w:val="21"/>
        </w:rPr>
        <w:t xml:space="preserve"> (Pending Merchant). Those need entirely different remediation, and a single '239 open' figure hides the distinction — which is why dim_ticket_status carries an explicit ownership attribute rather than just an is_open flag.</w:t>
      </w:r>
    </w:p>
    <w:tbl>
      <w:tblPr>
        <w:tblStyle w:val="TableGrid"/>
        <w:tblW w:type="auto" w:w="0"/>
        <w:tblLook w:firstColumn="1" w:firstRow="1" w:lastColumn="0" w:lastRow="0" w:noHBand="0" w:noVBand="1" w:val="04A0"/>
      </w:tblPr>
      <w:tblGrid>
        <w:gridCol w:w="9858"/>
      </w:tblGrid>
      <w:tr>
        <w:tc>
          <w:tcPr>
            <w:tcW w:type="dxa" w:w="9858"/>
            <w:shd w:val="clear" w:fill="FEF8EC"/>
          </w:tcPr>
          <w:p>
            <w:r/>
            <w:r>
              <w:rPr>
                <w:b/>
                <w:color w:val="E8A317"/>
                <w:sz w:val="20"/>
              </w:rPr>
              <w:t>Where the real operational signal is</w:t>
            </w:r>
          </w:p>
          <w:p>
            <w:pPr>
              <w:spacing w:after="60"/>
            </w:pPr>
            <w:r>
              <w:rPr>
                <w:sz w:val="19"/>
              </w:rPr>
              <w:t>Ticket spikes matter at the level of individual events, not as a portfolio rule. Durban Cash Hub's tickets rose 780% in June while sales GREW 8.2% — a service problem at a healthy account. Umhlanga Value Mart's rose 693% while sales FELL 42.5% — a failing account. Identical operational signal, opposite commercial diagnosis. The alerting logic in this solution therefore pairs ticket movement with sales movement rather than triggering on either alone.</w:t>
            </w:r>
          </w:p>
        </w:tc>
      </w:tr>
    </w:tbl>
    <w:p>
      <w:pPr>
        <w:spacing w:after="80"/>
      </w:pPr>
    </w:p>
    <w:p>
      <w:r>
        <w:br w:type="page"/>
      </w:r>
    </w:p>
    <w:p>
      <w:pPr>
        <w:pStyle w:val="Heading1"/>
      </w:pPr>
      <w:r>
        <w:t>2. Solution architecture</w:t>
      </w:r>
    </w:p>
    <w:p>
      <w:pPr>
        <w:spacing w:after="140" w:before="0"/>
      </w:pPr>
      <w:r>
        <w:rPr>
          <w:b w:val="0"/>
          <w:i w:val="0"/>
          <w:sz w:val="21"/>
        </w:rPr>
        <w:t>The stack follows the Fabric medallion pattern. Each layer has one responsibility, and the boundaries between them are where the quality controls sit.</w:t>
      </w:r>
    </w:p>
    <w:tbl>
      <w:tblPr>
        <w:tblStyle w:val="TableGrid"/>
        <w:tblW w:type="auto" w:w="0"/>
        <w:jc w:val="center"/>
        <w:tblLook w:firstColumn="1" w:firstRow="1" w:lastColumn="0" w:lastRow="0" w:noHBand="0" w:noVBand="1" w:val="04A0"/>
      </w:tblPr>
      <w:tblGrid>
        <w:gridCol w:w="3286"/>
        <w:gridCol w:w="3286"/>
        <w:gridCol w:w="3286"/>
      </w:tblGrid>
      <w:tr>
        <w:tc>
          <w:tcPr>
            <w:tcW w:type="dxa" w:w="1474"/>
            <w:shd w:val="clear" w:fill="12305B"/>
          </w:tcPr>
          <w:p>
            <w:pPr>
              <w:spacing w:after="40" w:before="40"/>
            </w:pPr>
            <w:r/>
            <w:r>
              <w:rPr>
                <w:b/>
                <w:color w:val="FFFFFF"/>
                <w:sz w:val="18"/>
              </w:rPr>
              <w:t>Layer</w:t>
            </w:r>
          </w:p>
        </w:tc>
        <w:tc>
          <w:tcPr>
            <w:tcW w:type="dxa" w:w="3742"/>
            <w:shd w:val="clear" w:fill="12305B"/>
          </w:tcPr>
          <w:p>
            <w:pPr>
              <w:spacing w:after="40" w:before="40"/>
            </w:pPr>
            <w:r/>
            <w:r>
              <w:rPr>
                <w:b/>
                <w:color w:val="FFFFFF"/>
                <w:sz w:val="18"/>
              </w:rPr>
              <w:t>Responsibility</w:t>
            </w:r>
          </w:p>
        </w:tc>
        <w:tc>
          <w:tcPr>
            <w:tcW w:type="dxa" w:w="4195"/>
            <w:shd w:val="clear" w:fill="12305B"/>
          </w:tcPr>
          <w:p>
            <w:pPr>
              <w:spacing w:after="40" w:before="40"/>
            </w:pPr>
            <w:r/>
            <w:r>
              <w:rPr>
                <w:b/>
                <w:color w:val="FFFFFF"/>
                <w:sz w:val="18"/>
              </w:rPr>
              <w:t>Contents</w:t>
            </w:r>
          </w:p>
        </w:tc>
      </w:tr>
      <w:tr>
        <w:tc>
          <w:tcPr>
            <w:tcW w:type="dxa" w:w="1474"/>
          </w:tcPr>
          <w:p>
            <w:pPr>
              <w:spacing w:after="40" w:before="40"/>
            </w:pPr>
            <w:r/>
            <w:r>
              <w:rPr>
                <w:sz w:val="18"/>
              </w:rPr>
              <w:t>Landing</w:t>
            </w:r>
          </w:p>
        </w:tc>
        <w:tc>
          <w:tcPr>
            <w:tcW w:type="dxa" w:w="3742"/>
          </w:tcPr>
          <w:p>
            <w:pPr>
              <w:spacing w:after="40" w:before="40"/>
            </w:pPr>
            <w:r/>
            <w:r>
              <w:rPr>
                <w:sz w:val="18"/>
              </w:rPr>
              <w:t>Files as delivered</w:t>
            </w:r>
          </w:p>
        </w:tc>
        <w:tc>
          <w:tcPr>
            <w:tcW w:type="dxa" w:w="4195"/>
          </w:tcPr>
          <w:p>
            <w:pPr>
              <w:spacing w:after="40" w:before="40"/>
            </w:pPr>
            <w:r/>
            <w:r>
              <w:rPr>
                <w:sz w:val="18"/>
              </w:rPr>
              <w:t>4 CSV files in OneLake Files/landing</w:t>
            </w:r>
          </w:p>
        </w:tc>
      </w:tr>
      <w:tr>
        <w:tc>
          <w:tcPr>
            <w:tcW w:type="dxa" w:w="1474"/>
            <w:shd w:val="clear" w:fill="F2F6FB"/>
          </w:tcPr>
          <w:p>
            <w:pPr>
              <w:spacing w:after="40" w:before="40"/>
            </w:pPr>
            <w:r/>
            <w:r>
              <w:rPr>
                <w:sz w:val="18"/>
              </w:rPr>
              <w:t>Bronze</w:t>
            </w:r>
          </w:p>
        </w:tc>
        <w:tc>
          <w:tcPr>
            <w:tcW w:type="dxa" w:w="3742"/>
            <w:shd w:val="clear" w:fill="F2F6FB"/>
          </w:tcPr>
          <w:p>
            <w:pPr>
              <w:spacing w:after="40" w:before="40"/>
            </w:pPr>
            <w:r/>
            <w:r>
              <w:rPr>
                <w:sz w:val="18"/>
              </w:rPr>
              <w:t>Land raw, add lineage only. No business logic whatsoever.</w:t>
            </w:r>
          </w:p>
        </w:tc>
        <w:tc>
          <w:tcPr>
            <w:tcW w:type="dxa" w:w="4195"/>
            <w:shd w:val="clear" w:fill="F2F6FB"/>
          </w:tcPr>
          <w:p>
            <w:pPr>
              <w:spacing w:after="40" w:before="40"/>
            </w:pPr>
            <w:r/>
            <w:r>
              <w:rPr>
                <w:sz w:val="18"/>
              </w:rPr>
              <w:t>4 Delta tables + _batch_id, _ingested_at, _source_file</w:t>
            </w:r>
          </w:p>
        </w:tc>
      </w:tr>
      <w:tr>
        <w:tc>
          <w:tcPr>
            <w:tcW w:type="dxa" w:w="1474"/>
          </w:tcPr>
          <w:p>
            <w:pPr>
              <w:spacing w:after="40" w:before="40"/>
            </w:pPr>
            <w:r/>
            <w:r>
              <w:rPr>
                <w:sz w:val="18"/>
              </w:rPr>
              <w:t>Silver</w:t>
            </w:r>
          </w:p>
        </w:tc>
        <w:tc>
          <w:tcPr>
            <w:tcW w:type="dxa" w:w="3742"/>
          </w:tcPr>
          <w:p>
            <w:pPr>
              <w:spacing w:after="40" w:before="40"/>
            </w:pPr>
            <w:r/>
            <w:r>
              <w:rPr>
                <w:sz w:val="18"/>
              </w:rPr>
              <w:t>Type, trim, deduplicate at the declared grain, conform, apply business rules</w:t>
            </w:r>
          </w:p>
        </w:tc>
        <w:tc>
          <w:tcPr>
            <w:tcW w:type="dxa" w:w="4195"/>
          </w:tcPr>
          <w:p>
            <w:pPr>
              <w:spacing w:after="40" w:before="40"/>
            </w:pPr>
            <w:r/>
            <w:r>
              <w:rPr>
                <w:sz w:val="18"/>
              </w:rPr>
              <w:t>4 Delta tables, partitioned by month, Z-ORDERed on merchant + date</w:t>
            </w:r>
          </w:p>
        </w:tc>
      </w:tr>
      <w:tr>
        <w:tc>
          <w:tcPr>
            <w:tcW w:type="dxa" w:w="1474"/>
            <w:shd w:val="clear" w:fill="F2F6FB"/>
          </w:tcPr>
          <w:p>
            <w:pPr>
              <w:spacing w:after="40" w:before="40"/>
            </w:pPr>
            <w:r/>
            <w:r>
              <w:rPr>
                <w:sz w:val="18"/>
              </w:rPr>
              <w:t>Gold</w:t>
            </w:r>
          </w:p>
        </w:tc>
        <w:tc>
          <w:tcPr>
            <w:tcW w:type="dxa" w:w="3742"/>
            <w:shd w:val="clear" w:fill="F2F6FB"/>
          </w:tcPr>
          <w:p>
            <w:pPr>
              <w:spacing w:after="40" w:before="40"/>
            </w:pPr>
            <w:r/>
            <w:r>
              <w:rPr>
                <w:sz w:val="18"/>
              </w:rPr>
              <w:t>Kimball star schema for consumption</w:t>
            </w:r>
          </w:p>
        </w:tc>
        <w:tc>
          <w:tcPr>
            <w:tcW w:type="dxa" w:w="4195"/>
            <w:shd w:val="clear" w:fill="F2F6FB"/>
          </w:tcPr>
          <w:p>
            <w:pPr>
              <w:spacing w:after="40" w:before="40"/>
            </w:pPr>
            <w:r/>
            <w:r>
              <w:rPr>
                <w:sz w:val="18"/>
              </w:rPr>
              <w:t>6 dimensions, 4 facts, 1 analytics mart, 2 ML output tables</w:t>
            </w:r>
          </w:p>
        </w:tc>
      </w:tr>
      <w:tr>
        <w:tc>
          <w:tcPr>
            <w:tcW w:type="dxa" w:w="1474"/>
          </w:tcPr>
          <w:p>
            <w:pPr>
              <w:spacing w:after="40" w:before="40"/>
            </w:pPr>
            <w:r/>
            <w:r>
              <w:rPr>
                <w:sz w:val="18"/>
              </w:rPr>
              <w:t>Consumption</w:t>
            </w:r>
          </w:p>
        </w:tc>
        <w:tc>
          <w:tcPr>
            <w:tcW w:type="dxa" w:w="3742"/>
          </w:tcPr>
          <w:p>
            <w:pPr>
              <w:spacing w:after="40" w:before="40"/>
            </w:pPr>
            <w:r/>
            <w:r>
              <w:rPr>
                <w:sz w:val="18"/>
              </w:rPr>
              <w:t>Report, workbook, models</w:t>
            </w:r>
          </w:p>
        </w:tc>
        <w:tc>
          <w:tcPr>
            <w:tcW w:type="dxa" w:w="4195"/>
          </w:tcPr>
          <w:p>
            <w:pPr>
              <w:spacing w:after="40" w:before="40"/>
            </w:pPr>
            <w:r/>
            <w:r>
              <w:rPr>
                <w:sz w:val="18"/>
              </w:rPr>
              <w:t>Power BI (Direct Lake), Excel pack, Fabric notebooks, Copilot/Q&amp;A</w:t>
            </w:r>
          </w:p>
        </w:tc>
      </w:tr>
    </w:tbl>
    <w:p>
      <w:pPr>
        <w:spacing w:after="80"/>
      </w:pPr>
    </w:p>
    <w:p>
      <w:pPr>
        <w:pStyle w:val="Heading2"/>
      </w:pPr>
      <w:r>
        <w:t>Naming convention</w:t>
      </w:r>
    </w:p>
    <w:p>
      <w:pPr>
        <w:spacing w:after="140" w:before="0"/>
      </w:pPr>
      <w:r>
        <w:rPr>
          <w:b w:val="0"/>
          <w:i w:val="0"/>
          <w:sz w:val="21"/>
        </w:rPr>
        <w:t>Applied consistently so an unfamiliar engineer can predict a table name: bronze_&lt;source&gt;, silver_&lt;entity&gt;, dim_&lt;entity&gt;, fct_&lt;business_process&gt;, mart_&lt;consumer&gt;. Surrogate keys are &lt;entity&gt;_key, natural keys are &lt;entity&gt;_id. Measures are named in business language, not warehouse language — 'Redemption Rate %', not 'pct_redeemed_calc'.</w:t>
      </w:r>
    </w:p>
    <w:p>
      <w:pPr>
        <w:pStyle w:val="Heading2"/>
      </w:pPr>
      <w:r>
        <w:t>Orchestration — Azure Data Factory / Fabric Pipelines</w:t>
      </w:r>
    </w:p>
    <w:p>
      <w:pPr>
        <w:spacing w:after="140" w:before="0"/>
      </w:pPr>
      <w:r>
        <w:rPr>
          <w:b w:val="0"/>
          <w:i w:val="0"/>
          <w:sz w:val="21"/>
        </w:rPr>
        <w:t>Three decisions in the pipeline design are worth stating explicitly, because each one exists to prevent a specific failure that occurs in production BI.</w:t>
      </w:r>
    </w:p>
    <w:p>
      <w:pPr>
        <w:spacing w:after="140"/>
      </w:pPr>
      <w:r>
        <w:rPr>
          <w:b/>
          <w:color w:val="0E8B8B"/>
          <w:sz w:val="21"/>
        </w:rPr>
        <w:t xml:space="preserve">Metadata-driven ingest. </w:t>
      </w:r>
      <w:r>
        <w:rPr>
          <w:b w:val="0"/>
          <w:sz w:val="21"/>
        </w:rPr>
        <w:t>A SourceFiles parameter array carries one object per source; a ForEach iterates it. Adding a fifth source is a parameter change, not a pipeline edit — which matters because pipeline edits require deployment and regression testing, while parameter changes do not. It also guarantees all four copy activities behave identically.</w:t>
      </w:r>
    </w:p>
    <w:p>
      <w:pPr>
        <w:spacing w:after="140"/>
      </w:pPr>
      <w:r>
        <w:rPr>
          <w:b/>
          <w:color w:val="0E8B8B"/>
          <w:sz w:val="21"/>
        </w:rPr>
        <w:t xml:space="preserve">The data-quality gate sits BETWEEN silver and gold. </w:t>
      </w:r>
      <w:r>
        <w:rPr>
          <w:b w:val="0"/>
          <w:sz w:val="21"/>
        </w:rPr>
        <w:t>This is the most important decision in the pipeline. The dbt test suite runs against silver, and gold is only rebuilt if every test passes. If the gate fails, the pipeline stops, alerts, and leaves the previous good gold layer in place — so the report keeps showing yesterday's correct numbers rather than today's wrong ones. Loading gold first and testing afterwards means the report has already published bad figures by the time anyone reads the alert. Stale-but-correct beats fresh-but-wrong: an executive working from a day-old number makes a slightly late decision; one working from a wrong number makes a wrong decision.</w:t>
      </w:r>
    </w:p>
    <w:p>
      <w:pPr>
        <w:spacing w:after="140"/>
      </w:pPr>
      <w:r>
        <w:rPr>
          <w:b/>
          <w:color w:val="0E8B8B"/>
          <w:sz w:val="21"/>
        </w:rPr>
        <w:t xml:space="preserve">Row-count validation catches the failure that does not throw. </w:t>
      </w:r>
      <w:r>
        <w:rPr>
          <w:b w:val="0"/>
          <w:sz w:val="21"/>
        </w:rPr>
        <w:t>A truncated or empty source file does not raise an error. The copy succeeds, the transformation succeeds, and the dashboard shows zero — which looks exactly like a genuinely bad trading day. A per-source minimum row count turns that silent failure into a loud one. Thresholds sit well below current volumes so normal fluctuation does not trip them, but far above zero so truncation cannot pass.</w:t>
      </w:r>
    </w:p>
    <w:p>
      <w:pPr>
        <w:pStyle w:val="Heading2"/>
      </w:pPr>
      <w:r>
        <w:t>Fabric cost control and platform enhancements</w:t>
      </w:r>
    </w:p>
    <w:p>
      <w:pPr>
        <w:spacing w:after="140" w:before="0"/>
      </w:pPr>
      <w:r>
        <w:rPr>
          <w:b w:val="0"/>
          <w:i w:val="0"/>
          <w:sz w:val="21"/>
        </w:rPr>
        <w:t>A Fabric trial capacity does not warn, throttle or stop on its own. A scheduled pipeline fires nightly for the full 60 days whether anyone is watching or not, and if a paid capacity is later attached the same schedules run against it. Cost control is therefore built into the artefacts rather than left as an operating instruction.</w:t>
      </w:r>
    </w:p>
    <w:tbl>
      <w:tblPr>
        <w:tblStyle w:val="TableGrid"/>
        <w:tblW w:type="auto" w:w="0"/>
        <w:jc w:val="center"/>
        <w:tblLook w:firstColumn="1" w:firstRow="1" w:lastColumn="0" w:lastRow="0" w:noHBand="0" w:noVBand="1" w:val="04A0"/>
      </w:tblPr>
      <w:tblGrid>
        <w:gridCol w:w="3286"/>
        <w:gridCol w:w="3286"/>
        <w:gridCol w:w="3286"/>
      </w:tblGrid>
      <w:tr>
        <w:tc>
          <w:tcPr>
            <w:tcW w:type="dxa" w:w="1928"/>
            <w:shd w:val="clear" w:fill="12305B"/>
          </w:tcPr>
          <w:p>
            <w:pPr>
              <w:spacing w:after="40" w:before="40"/>
            </w:pPr>
            <w:r/>
            <w:r>
              <w:rPr>
                <w:b/>
                <w:color w:val="FFFFFF"/>
                <w:sz w:val="17"/>
              </w:rPr>
              <w:t>Measure</w:t>
            </w:r>
          </w:p>
        </w:tc>
        <w:tc>
          <w:tcPr>
            <w:tcW w:type="dxa" w:w="3402"/>
            <w:shd w:val="clear" w:fill="12305B"/>
          </w:tcPr>
          <w:p>
            <w:pPr>
              <w:spacing w:after="40" w:before="40"/>
            </w:pPr>
            <w:r/>
            <w:r>
              <w:rPr>
                <w:b/>
                <w:color w:val="FFFFFF"/>
                <w:sz w:val="17"/>
              </w:rPr>
              <w:t>Implementation</w:t>
            </w:r>
          </w:p>
        </w:tc>
        <w:tc>
          <w:tcPr>
            <w:tcW w:type="dxa" w:w="4082"/>
            <w:shd w:val="clear" w:fill="12305B"/>
          </w:tcPr>
          <w:p>
            <w:pPr>
              <w:spacing w:after="40" w:before="40"/>
            </w:pPr>
            <w:r/>
            <w:r>
              <w:rPr>
                <w:b/>
                <w:color w:val="FFFFFF"/>
                <w:sz w:val="17"/>
              </w:rPr>
              <w:t>Saving or risk avoided</w:t>
            </w:r>
          </w:p>
        </w:tc>
      </w:tr>
      <w:tr>
        <w:tc>
          <w:tcPr>
            <w:tcW w:type="dxa" w:w="1928"/>
          </w:tcPr>
          <w:p>
            <w:pPr>
              <w:spacing w:after="40" w:before="40"/>
            </w:pPr>
            <w:r/>
            <w:r>
              <w:rPr>
                <w:sz w:val="17"/>
              </w:rPr>
              <w:t>Trigger ships disabled</w:t>
            </w:r>
          </w:p>
        </w:tc>
        <w:tc>
          <w:tcPr>
            <w:tcW w:type="dxa" w:w="3402"/>
          </w:tcPr>
          <w:p>
            <w:pPr>
              <w:spacing w:after="40" w:before="40"/>
            </w:pPr>
            <w:r/>
            <w:r>
              <w:rPr>
                <w:sz w:val="17"/>
              </w:rPr>
              <w:t>TR_Daily_0200_SAST has runtimeState 'Stopped' and a hard endTime of 2026-10-03</w:t>
            </w:r>
          </w:p>
        </w:tc>
        <w:tc>
          <w:tcPr>
            <w:tcW w:type="dxa" w:w="4082"/>
          </w:tcPr>
          <w:p>
            <w:pPr>
              <w:spacing w:after="40" w:before="40"/>
            </w:pPr>
            <w:r/>
            <w:r>
              <w:rPr>
                <w:sz w:val="17"/>
              </w:rPr>
              <w:t>~60 unattended pipeline runs, each spanning a Copy activity, four notebooks and a semantic model refresh</w:t>
            </w:r>
          </w:p>
        </w:tc>
      </w:tr>
      <w:tr>
        <w:tc>
          <w:tcPr>
            <w:tcW w:type="dxa" w:w="1928"/>
            <w:shd w:val="clear" w:fill="F2F6FB"/>
          </w:tcPr>
          <w:p>
            <w:pPr>
              <w:spacing w:after="40" w:before="40"/>
            </w:pPr>
            <w:r/>
            <w:r>
              <w:rPr>
                <w:sz w:val="17"/>
              </w:rPr>
              <w:t>Kill switch</w:t>
            </w:r>
          </w:p>
        </w:tc>
        <w:tc>
          <w:tcPr>
            <w:tcW w:type="dxa" w:w="3402"/>
            <w:shd w:val="clear" w:fill="F2F6FB"/>
          </w:tcPr>
          <w:p>
            <w:pPr>
              <w:spacing w:after="40" w:before="40"/>
            </w:pPr>
            <w:r/>
            <w:r>
              <w:rPr>
                <w:sz w:val="17"/>
              </w:rPr>
              <w:t>fabric_cost_guard.py --check / --stop / --nuke, using the az login token</w:t>
            </w:r>
          </w:p>
        </w:tc>
        <w:tc>
          <w:tcPr>
            <w:tcW w:type="dxa" w:w="4082"/>
            <w:shd w:val="clear" w:fill="F2F6FB"/>
          </w:tcPr>
          <w:p>
            <w:pPr>
              <w:spacing w:after="40" w:before="40"/>
            </w:pPr>
            <w:r/>
            <w:r>
              <w:rPr>
                <w:sz w:val="17"/>
              </w:rPr>
              <w:t>Disables every schedule and cancels in-flight runs in one command</w:t>
            </w:r>
          </w:p>
        </w:tc>
      </w:tr>
      <w:tr>
        <w:tc>
          <w:tcPr>
            <w:tcW w:type="dxa" w:w="1928"/>
          </w:tcPr>
          <w:p>
            <w:pPr>
              <w:spacing w:after="40" w:before="40"/>
            </w:pPr>
            <w:r/>
            <w:r>
              <w:rPr>
                <w:sz w:val="17"/>
              </w:rPr>
              <w:t>Automated watch</w:t>
            </w:r>
          </w:p>
        </w:tc>
        <w:tc>
          <w:tcPr>
            <w:tcW w:type="dxa" w:w="3402"/>
          </w:tcPr>
          <w:p>
            <w:pPr>
              <w:spacing w:after="40" w:before="40"/>
            </w:pPr>
            <w:r/>
            <w:r>
              <w:rPr>
                <w:sz w:val="17"/>
              </w:rPr>
              <w:t>Two scheduled tasks: weekly escalating check, plus a one-time alert on 2026-10-03</w:t>
            </w:r>
          </w:p>
        </w:tc>
        <w:tc>
          <w:tcPr>
            <w:tcW w:type="dxa" w:w="4082"/>
          </w:tcPr>
          <w:p>
            <w:pPr>
              <w:spacing w:after="40" w:before="40"/>
            </w:pPr>
            <w:r/>
            <w:r>
              <w:rPr>
                <w:sz w:val="17"/>
              </w:rPr>
              <w:t>Removes reliance on remembering the expiry date</w:t>
            </w:r>
          </w:p>
        </w:tc>
      </w:tr>
      <w:tr>
        <w:tc>
          <w:tcPr>
            <w:tcW w:type="dxa" w:w="1928"/>
            <w:shd w:val="clear" w:fill="F2F6FB"/>
          </w:tcPr>
          <w:p>
            <w:pPr>
              <w:spacing w:after="40" w:before="40"/>
            </w:pPr>
            <w:r/>
            <w:r>
              <w:rPr>
                <w:sz w:val="17"/>
              </w:rPr>
              <w:t>Direct Lake over Import</w:t>
            </w:r>
          </w:p>
        </w:tc>
        <w:tc>
          <w:tcPr>
            <w:tcW w:type="dxa" w:w="3402"/>
            <w:shd w:val="clear" w:fill="F2F6FB"/>
          </w:tcPr>
          <w:p>
            <w:pPr>
              <w:spacing w:after="40" w:before="40"/>
            </w:pPr>
            <w:r/>
            <w:r>
              <w:rPr>
                <w:sz w:val="17"/>
              </w:rPr>
              <w:t>The semantic model reads Delta files directly; no import refresh</w:t>
            </w:r>
          </w:p>
        </w:tc>
        <w:tc>
          <w:tcPr>
            <w:tcW w:type="dxa" w:w="4082"/>
            <w:shd w:val="clear" w:fill="F2F6FB"/>
          </w:tcPr>
          <w:p>
            <w:pPr>
              <w:spacing w:after="40" w:before="40"/>
            </w:pPr>
            <w:r/>
            <w:r>
              <w:rPr>
                <w:sz w:val="17"/>
              </w:rPr>
              <w:t>No duplicated storage, and no scheduled dataset refresh consuming capacity units</w:t>
            </w:r>
          </w:p>
        </w:tc>
      </w:tr>
      <w:tr>
        <w:tc>
          <w:tcPr>
            <w:tcW w:type="dxa" w:w="1928"/>
          </w:tcPr>
          <w:p>
            <w:pPr>
              <w:spacing w:after="40" w:before="40"/>
            </w:pPr>
            <w:r/>
            <w:r>
              <w:rPr>
                <w:sz w:val="17"/>
              </w:rPr>
              <w:t>Ephemeral intermediate models</w:t>
            </w:r>
          </w:p>
        </w:tc>
        <w:tc>
          <w:tcPr>
            <w:tcW w:type="dxa" w:w="3402"/>
          </w:tcPr>
          <w:p>
            <w:pPr>
              <w:spacing w:after="40" w:before="40"/>
            </w:pPr>
            <w:r/>
            <w:r>
              <w:rPr>
                <w:sz w:val="17"/>
              </w:rPr>
              <w:t>int_merchant_monthly and int_merchant_momentum are inlined as CTEs</w:t>
            </w:r>
          </w:p>
        </w:tc>
        <w:tc>
          <w:tcPr>
            <w:tcW w:type="dxa" w:w="4082"/>
          </w:tcPr>
          <w:p>
            <w:pPr>
              <w:spacing w:after="40" w:before="40"/>
            </w:pPr>
            <w:r/>
            <w:r>
              <w:rPr>
                <w:sz w:val="17"/>
              </w:rPr>
              <w:t>Two fewer materialised tables, and no staleness between them and their consumers</w:t>
            </w:r>
          </w:p>
        </w:tc>
      </w:tr>
      <w:tr>
        <w:tc>
          <w:tcPr>
            <w:tcW w:type="dxa" w:w="1928"/>
            <w:shd w:val="clear" w:fill="F2F6FB"/>
          </w:tcPr>
          <w:p>
            <w:pPr>
              <w:spacing w:after="40" w:before="40"/>
            </w:pPr>
            <w:r/>
            <w:r>
              <w:rPr>
                <w:sz w:val="17"/>
              </w:rPr>
              <w:t>Incremental fact load</w:t>
            </w:r>
          </w:p>
        </w:tc>
        <w:tc>
          <w:tcPr>
            <w:tcW w:type="dxa" w:w="3402"/>
            <w:shd w:val="clear" w:fill="F2F6FB"/>
          </w:tcPr>
          <w:p>
            <w:pPr>
              <w:spacing w:after="40" w:before="40"/>
            </w:pPr>
            <w:r/>
            <w:r>
              <w:rPr>
                <w:sz w:val="17"/>
              </w:rPr>
              <w:t>fct_merchant_sales merges on a deterministic key with a 3-day lookback</w:t>
            </w:r>
          </w:p>
        </w:tc>
        <w:tc>
          <w:tcPr>
            <w:tcW w:type="dxa" w:w="4082"/>
            <w:shd w:val="clear" w:fill="F2F6FB"/>
          </w:tcPr>
          <w:p>
            <w:pPr>
              <w:spacing w:after="40" w:before="40"/>
            </w:pPr>
            <w:r/>
            <w:r>
              <w:rPr>
                <w:sz w:val="17"/>
              </w:rPr>
              <w:t>A daily run rewrites three days, not 26,500 rows</w:t>
            </w:r>
          </w:p>
        </w:tc>
      </w:tr>
      <w:tr>
        <w:tc>
          <w:tcPr>
            <w:tcW w:type="dxa" w:w="1928"/>
          </w:tcPr>
          <w:p>
            <w:pPr>
              <w:spacing w:after="40" w:before="40"/>
            </w:pPr>
            <w:r/>
            <w:r>
              <w:rPr>
                <w:sz w:val="17"/>
              </w:rPr>
              <w:t>Local development on DuckDB</w:t>
            </w:r>
          </w:p>
        </w:tc>
        <w:tc>
          <w:tcPr>
            <w:tcW w:type="dxa" w:w="3402"/>
          </w:tcPr>
          <w:p>
            <w:pPr>
              <w:spacing w:after="40" w:before="40"/>
            </w:pPr>
            <w:r/>
            <w:r>
              <w:rPr>
                <w:sz w:val="17"/>
              </w:rPr>
              <w:t>The dev target runs the identical models with no cloud cost</w:t>
            </w:r>
          </w:p>
        </w:tc>
        <w:tc>
          <w:tcPr>
            <w:tcW w:type="dxa" w:w="4082"/>
          </w:tcPr>
          <w:p>
            <w:pPr>
              <w:spacing w:after="40" w:before="40"/>
            </w:pPr>
            <w:r/>
            <w:r>
              <w:rPr>
                <w:sz w:val="17"/>
              </w:rPr>
              <w:t>Development and testing consume zero capacity; only promotion touches Fabric</w:t>
            </w:r>
          </w:p>
        </w:tc>
      </w:tr>
    </w:tbl>
    <w:p>
      <w:pPr>
        <w:spacing w:after="80"/>
      </w:pPr>
    </w:p>
    <w:p>
      <w:pPr>
        <w:pStyle w:val="Heading2"/>
      </w:pPr>
      <w:r>
        <w:t>Warehouse and Lakehouse enhancements applied</w:t>
      </w:r>
    </w:p>
    <w:tbl>
      <w:tblPr>
        <w:tblStyle w:val="TableGrid"/>
        <w:tblW w:type="auto" w:w="0"/>
        <w:jc w:val="center"/>
        <w:tblLook w:firstColumn="1" w:firstRow="1" w:lastColumn="0" w:lastRow="0" w:noHBand="0" w:noVBand="1" w:val="04A0"/>
      </w:tblPr>
      <w:tblGrid>
        <w:gridCol w:w="4929"/>
        <w:gridCol w:w="4929"/>
      </w:tblGrid>
      <w:tr>
        <w:tc>
          <w:tcPr>
            <w:tcW w:type="dxa" w:w="2608"/>
            <w:shd w:val="clear" w:fill="12305B"/>
          </w:tcPr>
          <w:p>
            <w:pPr>
              <w:spacing w:after="40" w:before="40"/>
            </w:pPr>
            <w:r/>
            <w:r>
              <w:rPr>
                <w:b/>
                <w:color w:val="FFFFFF"/>
                <w:sz w:val="17"/>
              </w:rPr>
              <w:t>Enhancement</w:t>
            </w:r>
          </w:p>
        </w:tc>
        <w:tc>
          <w:tcPr>
            <w:tcW w:type="dxa" w:w="6803"/>
            <w:shd w:val="clear" w:fill="12305B"/>
          </w:tcPr>
          <w:p>
            <w:pPr>
              <w:spacing w:after="40" w:before="40"/>
            </w:pPr>
            <w:r/>
            <w:r>
              <w:rPr>
                <w:b/>
                <w:color w:val="FFFFFF"/>
                <w:sz w:val="17"/>
              </w:rPr>
              <w:t>Why</w:t>
            </w:r>
          </w:p>
        </w:tc>
      </w:tr>
      <w:tr>
        <w:tc>
          <w:tcPr>
            <w:tcW w:type="dxa" w:w="2608"/>
          </w:tcPr>
          <w:p>
            <w:pPr>
              <w:spacing w:after="40" w:before="40"/>
            </w:pPr>
            <w:r/>
            <w:r>
              <w:rPr>
                <w:sz w:val="17"/>
              </w:rPr>
              <w:t>Z-ORDER on merchant_id + date in silver</w:t>
            </w:r>
          </w:p>
        </w:tc>
        <w:tc>
          <w:tcPr>
            <w:tcW w:type="dxa" w:w="6803"/>
          </w:tcPr>
          <w:p>
            <w:pPr>
              <w:spacing w:after="40" w:before="40"/>
            </w:pPr>
            <w:r/>
            <w:r>
              <w:rPr>
                <w:sz w:val="17"/>
              </w:rPr>
              <w:t>Direct Lake reads Delta files directly, so file layout IS query performance. The report filters on merchant and period constantly.</w:t>
            </w:r>
          </w:p>
        </w:tc>
      </w:tr>
      <w:tr>
        <w:tc>
          <w:tcPr>
            <w:tcW w:type="dxa" w:w="2608"/>
            <w:shd w:val="clear" w:fill="F2F6FB"/>
          </w:tcPr>
          <w:p>
            <w:pPr>
              <w:spacing w:after="40" w:before="40"/>
            </w:pPr>
            <w:r/>
            <w:r>
              <w:rPr>
                <w:sz w:val="17"/>
              </w:rPr>
              <w:t>Partition silver by year_month</w:t>
            </w:r>
          </w:p>
        </w:tc>
        <w:tc>
          <w:tcPr>
            <w:tcW w:type="dxa" w:w="6803"/>
            <w:shd w:val="clear" w:fill="F2F6FB"/>
          </w:tcPr>
          <w:p>
            <w:pPr>
              <w:spacing w:after="40" w:before="40"/>
            </w:pPr>
            <w:r/>
            <w:r>
              <w:rPr>
                <w:sz w:val="17"/>
              </w:rPr>
              <w:t>Partition pruning is negligible at 26,500 rows but the pattern must be correct before volume arrives, not retrofitted after.</w:t>
            </w:r>
          </w:p>
        </w:tc>
      </w:tr>
      <w:tr>
        <w:tc>
          <w:tcPr>
            <w:tcW w:type="dxa" w:w="2608"/>
          </w:tcPr>
          <w:p>
            <w:pPr>
              <w:spacing w:after="40" w:before="40"/>
            </w:pPr>
            <w:r/>
            <w:r>
              <w:rPr>
                <w:sz w:val="17"/>
              </w:rPr>
              <w:t>NOT ENFORCED primary and foreign keys</w:t>
            </w:r>
          </w:p>
        </w:tc>
        <w:tc>
          <w:tcPr>
            <w:tcW w:type="dxa" w:w="6803"/>
          </w:tcPr>
          <w:p>
            <w:pPr>
              <w:spacing w:after="40" w:before="40"/>
            </w:pPr>
            <w:r/>
            <w:r>
              <w:rPr>
                <w:sz w:val="17"/>
              </w:rPr>
              <w:t>Fabric Warehouse does not enforce constraints but the optimiser uses them for better plans — and they document the model for the next engineer.</w:t>
            </w:r>
          </w:p>
        </w:tc>
      </w:tr>
      <w:tr>
        <w:tc>
          <w:tcPr>
            <w:tcW w:type="dxa" w:w="2608"/>
            <w:shd w:val="clear" w:fill="F2F6FB"/>
          </w:tcPr>
          <w:p>
            <w:pPr>
              <w:spacing w:after="40" w:before="40"/>
            </w:pPr>
            <w:r/>
            <w:r>
              <w:rPr>
                <w:sz w:val="17"/>
              </w:rPr>
              <w:t>Bronze as VARCHAR throughout</w:t>
            </w:r>
          </w:p>
        </w:tc>
        <w:tc>
          <w:tcPr>
            <w:tcW w:type="dxa" w:w="6803"/>
            <w:shd w:val="clear" w:fill="F2F6FB"/>
          </w:tcPr>
          <w:p>
            <w:pPr>
              <w:spacing w:after="40" w:before="40"/>
            </w:pPr>
            <w:r/>
            <w:r>
              <w:rPr>
                <w:sz w:val="17"/>
              </w:rPr>
              <w:t>Typing is silver's job. A cast applied at ingest is a transformation nobody can see or test, and it destroys the evidence of what the source actually sent.</w:t>
            </w:r>
          </w:p>
        </w:tc>
      </w:tr>
      <w:tr>
        <w:tc>
          <w:tcPr>
            <w:tcW w:type="dxa" w:w="2608"/>
          </w:tcPr>
          <w:p>
            <w:pPr>
              <w:spacing w:after="40" w:before="40"/>
            </w:pPr>
            <w:r/>
            <w:r>
              <w:rPr>
                <w:sz w:val="17"/>
              </w:rPr>
              <w:t>Surrogate keys generated deterministically</w:t>
            </w:r>
          </w:p>
        </w:tc>
        <w:tc>
          <w:tcPr>
            <w:tcW w:type="dxa" w:w="6803"/>
          </w:tcPr>
          <w:p>
            <w:pPr>
              <w:spacing w:after="40" w:before="40"/>
            </w:pPr>
            <w:r/>
            <w:r>
              <w:rPr>
                <w:sz w:val="17"/>
              </w:rPr>
              <w:t>The same natural key always yields the same surrogate, so a full rebuild cannot fork a dimension — which is what makes the pipeline idempotent.</w:t>
            </w:r>
          </w:p>
        </w:tc>
      </w:tr>
      <w:tr>
        <w:tc>
          <w:tcPr>
            <w:tcW w:type="dxa" w:w="2608"/>
            <w:shd w:val="clear" w:fill="F2F6FB"/>
          </w:tcPr>
          <w:p>
            <w:pPr>
              <w:spacing w:after="40" w:before="40"/>
            </w:pPr>
            <w:r/>
            <w:r>
              <w:rPr>
                <w:sz w:val="17"/>
              </w:rPr>
              <w:t>Adapter-dispatched SQL macros</w:t>
            </w:r>
          </w:p>
        </w:tc>
        <w:tc>
          <w:tcPr>
            <w:tcW w:type="dxa" w:w="6803"/>
            <w:shd w:val="clear" w:fill="F2F6FB"/>
          </w:tcPr>
          <w:p>
            <w:pPr>
              <w:spacing w:after="40" w:before="40"/>
            </w:pPr>
            <w:r/>
            <w:r>
              <w:rPr>
                <w:sz w:val="17"/>
              </w:rPr>
              <w:t>The same models run on DuckDB and the Fabric Warehouse. Discovered the hard way: T-SQL has no boolean column type and rejects positional GROUP BY.</w:t>
            </w:r>
          </w:p>
        </w:tc>
      </w:tr>
    </w:tbl>
    <w:p>
      <w:pPr>
        <w:spacing w:after="80"/>
      </w:pPr>
    </w:p>
    <w:p>
      <w:pPr>
        <w:pStyle w:val="Heading2"/>
      </w:pPr>
      <w:r>
        <w:t>Retry policy</w:t>
      </w:r>
    </w:p>
    <w:tbl>
      <w:tblPr>
        <w:tblStyle w:val="TableGrid"/>
        <w:tblW w:type="auto" w:w="0"/>
        <w:jc w:val="center"/>
        <w:tblLook w:firstColumn="1" w:firstRow="1" w:lastColumn="0" w:lastRow="0" w:noHBand="0" w:noVBand="1" w:val="04A0"/>
      </w:tblPr>
      <w:tblGrid>
        <w:gridCol w:w="3286"/>
        <w:gridCol w:w="3286"/>
        <w:gridCol w:w="3286"/>
      </w:tblGrid>
      <w:tr>
        <w:tc>
          <w:tcPr>
            <w:tcW w:type="dxa" w:w="2494"/>
            <w:shd w:val="clear" w:fill="12305B"/>
          </w:tcPr>
          <w:p>
            <w:pPr>
              <w:spacing w:after="40" w:before="40"/>
            </w:pPr>
            <w:r/>
            <w:r>
              <w:rPr>
                <w:b/>
                <w:color w:val="FFFFFF"/>
                <w:sz w:val="18"/>
              </w:rPr>
              <w:t>Activity</w:t>
            </w:r>
          </w:p>
        </w:tc>
        <w:tc>
          <w:tcPr>
            <w:tcW w:type="dxa" w:w="1134"/>
            <w:shd w:val="clear" w:fill="12305B"/>
          </w:tcPr>
          <w:p>
            <w:pPr>
              <w:spacing w:after="40" w:before="40"/>
              <w:jc w:val="right"/>
            </w:pPr>
            <w:r/>
            <w:r>
              <w:rPr>
                <w:b/>
                <w:color w:val="FFFFFF"/>
                <w:sz w:val="18"/>
              </w:rPr>
              <w:t>Retries</w:t>
            </w:r>
          </w:p>
        </w:tc>
        <w:tc>
          <w:tcPr>
            <w:tcW w:type="dxa" w:w="5783"/>
            <w:shd w:val="clear" w:fill="12305B"/>
          </w:tcPr>
          <w:p>
            <w:pPr>
              <w:spacing w:after="40" w:before="40"/>
            </w:pPr>
            <w:r/>
            <w:r>
              <w:rPr>
                <w:b/>
                <w:color w:val="FFFFFF"/>
                <w:sz w:val="18"/>
              </w:rPr>
              <w:t>Rationale</w:t>
            </w:r>
          </w:p>
        </w:tc>
      </w:tr>
      <w:tr>
        <w:tc>
          <w:tcPr>
            <w:tcW w:type="dxa" w:w="2494"/>
          </w:tcPr>
          <w:p>
            <w:pPr>
              <w:spacing w:after="40" w:before="40"/>
            </w:pPr>
            <w:r/>
            <w:r>
              <w:rPr>
                <w:sz w:val="18"/>
              </w:rPr>
              <w:t>Copy to Bronze</w:t>
            </w:r>
          </w:p>
        </w:tc>
        <w:tc>
          <w:tcPr>
            <w:tcW w:type="dxa" w:w="1134"/>
          </w:tcPr>
          <w:p>
            <w:pPr>
              <w:spacing w:after="40" w:before="40"/>
              <w:jc w:val="right"/>
            </w:pPr>
            <w:r/>
            <w:r>
              <w:rPr>
                <w:sz w:val="18"/>
              </w:rPr>
              <w:t>3</w:t>
            </w:r>
          </w:p>
        </w:tc>
        <w:tc>
          <w:tcPr>
            <w:tcW w:type="dxa" w:w="5783"/>
          </w:tcPr>
          <w:p>
            <w:pPr>
              <w:spacing w:after="40" w:before="40"/>
            </w:pPr>
            <w:r/>
            <w:r>
              <w:rPr>
                <w:sz w:val="18"/>
              </w:rPr>
              <w:t>Transient storage/network faults are common and genuinely self-healing</w:t>
            </w:r>
          </w:p>
        </w:tc>
      </w:tr>
      <w:tr>
        <w:tc>
          <w:tcPr>
            <w:tcW w:type="dxa" w:w="2494"/>
            <w:shd w:val="clear" w:fill="F2F6FB"/>
          </w:tcPr>
          <w:p>
            <w:pPr>
              <w:spacing w:after="40" w:before="40"/>
            </w:pPr>
            <w:r/>
            <w:r>
              <w:rPr>
                <w:sz w:val="18"/>
              </w:rPr>
              <w:t>Transform to Silver</w:t>
            </w:r>
          </w:p>
        </w:tc>
        <w:tc>
          <w:tcPr>
            <w:tcW w:type="dxa" w:w="1134"/>
            <w:shd w:val="clear" w:fill="F2F6FB"/>
          </w:tcPr>
          <w:p>
            <w:pPr>
              <w:spacing w:after="40" w:before="40"/>
              <w:jc w:val="right"/>
            </w:pPr>
            <w:r/>
            <w:r>
              <w:rPr>
                <w:sz w:val="18"/>
              </w:rPr>
              <w:t>1</w:t>
            </w:r>
          </w:p>
        </w:tc>
        <w:tc>
          <w:tcPr>
            <w:tcW w:type="dxa" w:w="5783"/>
            <w:shd w:val="clear" w:fill="F2F6FB"/>
          </w:tcPr>
          <w:p>
            <w:pPr>
              <w:spacing w:after="40" w:before="40"/>
            </w:pPr>
            <w:r/>
            <w:r>
              <w:rPr>
                <w:sz w:val="18"/>
              </w:rPr>
              <w:t>Largely deterministic; one retry covers a capacity blip</w:t>
            </w:r>
          </w:p>
        </w:tc>
      </w:tr>
      <w:tr>
        <w:tc>
          <w:tcPr>
            <w:tcW w:type="dxa" w:w="2494"/>
          </w:tcPr>
          <w:p>
            <w:pPr>
              <w:spacing w:after="40" w:before="40"/>
            </w:pPr>
            <w:r/>
            <w:r>
              <w:rPr>
                <w:sz w:val="18"/>
              </w:rPr>
              <w:t>Data Quality Gate</w:t>
            </w:r>
          </w:p>
        </w:tc>
        <w:tc>
          <w:tcPr>
            <w:tcW w:type="dxa" w:w="1134"/>
          </w:tcPr>
          <w:p>
            <w:pPr>
              <w:spacing w:after="40" w:before="40"/>
              <w:jc w:val="right"/>
            </w:pPr>
            <w:r/>
            <w:r>
              <w:rPr>
                <w:sz w:val="18"/>
              </w:rPr>
              <w:t>0</w:t>
            </w:r>
          </w:p>
        </w:tc>
        <w:tc>
          <w:tcPr>
            <w:tcW w:type="dxa" w:w="5783"/>
          </w:tcPr>
          <w:p>
            <w:pPr>
              <w:spacing w:after="40" w:before="40"/>
            </w:pPr>
            <w:r/>
            <w:r>
              <w:rPr>
                <w:sz w:val="18"/>
              </w:rPr>
              <w:t>A failing test is a real defect. Retrying delays the alert and risks a flaky pass</w:t>
            </w:r>
          </w:p>
        </w:tc>
      </w:tr>
      <w:tr>
        <w:tc>
          <w:tcPr>
            <w:tcW w:type="dxa" w:w="2494"/>
            <w:shd w:val="clear" w:fill="F2F6FB"/>
          </w:tcPr>
          <w:p>
            <w:pPr>
              <w:spacing w:after="40" w:before="40"/>
            </w:pPr>
            <w:r/>
            <w:r>
              <w:rPr>
                <w:sz w:val="18"/>
              </w:rPr>
              <w:t>Build Gold</w:t>
            </w:r>
          </w:p>
        </w:tc>
        <w:tc>
          <w:tcPr>
            <w:tcW w:type="dxa" w:w="1134"/>
            <w:shd w:val="clear" w:fill="F2F6FB"/>
          </w:tcPr>
          <w:p>
            <w:pPr>
              <w:spacing w:after="40" w:before="40"/>
              <w:jc w:val="right"/>
            </w:pPr>
            <w:r/>
            <w:r>
              <w:rPr>
                <w:sz w:val="18"/>
              </w:rPr>
              <w:t>1</w:t>
            </w:r>
          </w:p>
        </w:tc>
        <w:tc>
          <w:tcPr>
            <w:tcW w:type="dxa" w:w="5783"/>
            <w:shd w:val="clear" w:fill="F2F6FB"/>
          </w:tcPr>
          <w:p>
            <w:pPr>
              <w:spacing w:after="40" w:before="40"/>
            </w:pPr>
            <w:r/>
            <w:r>
              <w:rPr>
                <w:sz w:val="18"/>
              </w:rPr>
              <w:t>As above</w:t>
            </w:r>
          </w:p>
        </w:tc>
      </w:tr>
      <w:tr>
        <w:tc>
          <w:tcPr>
            <w:tcW w:type="dxa" w:w="2494"/>
          </w:tcPr>
          <w:p>
            <w:pPr>
              <w:spacing w:after="40" w:before="40"/>
            </w:pPr>
            <w:r/>
            <w:r>
              <w:rPr>
                <w:sz w:val="18"/>
              </w:rPr>
              <w:t>ML Scoring</w:t>
            </w:r>
          </w:p>
        </w:tc>
        <w:tc>
          <w:tcPr>
            <w:tcW w:type="dxa" w:w="1134"/>
          </w:tcPr>
          <w:p>
            <w:pPr>
              <w:spacing w:after="40" w:before="40"/>
              <w:jc w:val="right"/>
            </w:pPr>
            <w:r/>
            <w:r>
              <w:rPr>
                <w:sz w:val="18"/>
              </w:rPr>
              <w:t>1</w:t>
            </w:r>
          </w:p>
        </w:tc>
        <w:tc>
          <w:tcPr>
            <w:tcW w:type="dxa" w:w="5783"/>
          </w:tcPr>
          <w:p>
            <w:pPr>
              <w:spacing w:after="40" w:before="40"/>
            </w:pPr>
            <w:r/>
            <w:r>
              <w:rPr>
                <w:sz w:val="18"/>
              </w:rPr>
              <w:t>Longer running, more exposed to capacity contention</w:t>
            </w:r>
          </w:p>
        </w:tc>
      </w:tr>
      <w:tr>
        <w:tc>
          <w:tcPr>
            <w:tcW w:type="dxa" w:w="2494"/>
            <w:shd w:val="clear" w:fill="F2F6FB"/>
          </w:tcPr>
          <w:p>
            <w:pPr>
              <w:spacing w:after="40" w:before="40"/>
            </w:pPr>
            <w:r/>
            <w:r>
              <w:rPr>
                <w:sz w:val="18"/>
              </w:rPr>
              <w:t>Refresh Semantic Model</w:t>
            </w:r>
          </w:p>
        </w:tc>
        <w:tc>
          <w:tcPr>
            <w:tcW w:type="dxa" w:w="1134"/>
            <w:shd w:val="clear" w:fill="F2F6FB"/>
          </w:tcPr>
          <w:p>
            <w:pPr>
              <w:spacing w:after="40" w:before="40"/>
              <w:jc w:val="right"/>
            </w:pPr>
            <w:r/>
            <w:r>
              <w:rPr>
                <w:sz w:val="18"/>
              </w:rPr>
              <w:t>2</w:t>
            </w:r>
          </w:p>
        </w:tc>
        <w:tc>
          <w:tcPr>
            <w:tcW w:type="dxa" w:w="5783"/>
            <w:shd w:val="clear" w:fill="F2F6FB"/>
          </w:tcPr>
          <w:p>
            <w:pPr>
              <w:spacing w:after="40" w:before="40"/>
            </w:pPr>
            <w:r/>
            <w:r>
              <w:rPr>
                <w:sz w:val="18"/>
              </w:rPr>
              <w:t>The Power BI REST API returns transient 429s under load</w:t>
            </w:r>
          </w:p>
        </w:tc>
      </w:tr>
    </w:tbl>
    <w:p>
      <w:pPr>
        <w:spacing w:after="80"/>
      </w:pPr>
    </w:p>
    <w:p>
      <w:r>
        <w:br w:type="page"/>
      </w:r>
    </w:p>
    <w:p>
      <w:pPr>
        <w:pStyle w:val="Heading1"/>
      </w:pPr>
      <w:r>
        <w:t>3. Data model</w:t>
      </w:r>
    </w:p>
    <w:p>
      <w:pPr>
        <w:spacing w:after="140" w:before="0"/>
      </w:pPr>
      <w:r>
        <w:rPr>
          <w:b w:val="0"/>
          <w:i w:val="0"/>
          <w:sz w:val="21"/>
        </w:rPr>
        <w:t>A star schema with four facts at three different grains, sharing conformed dimensions. Mixing grains in a single fact table is the most common way a voucher model breaks, so each business process gets its own fact.</w:t>
      </w:r>
    </w:p>
    <w:p>
      <w:pPr>
        <w:pStyle w:val="Heading2"/>
      </w:pPr>
      <w:r>
        <w:t>What the drop actually supplies</w:t>
      </w:r>
    </w:p>
    <w:p>
      <w:pPr>
        <w:spacing w:after="140" w:before="0"/>
      </w:pPr>
      <w:r>
        <w:rPr>
          <w:b w:val="0"/>
          <w:i w:val="0"/>
          <w:sz w:val="21"/>
        </w:rPr>
        <w:t>The folder contains six files: four CSVs of data, a README, and a DataDictionary. The README's suggested model names FIVE tables against those four CSVs — the fifth, DimDate, has no source file at all. Its entry reads 'candidate should create a proper date table'. Every table in the delivered model is therefore tagged with one of two distinct origins where the README is concerned: supplied as a CSV, or named by the README and built here. Collapsing those into a single 'from the README' label would imply a DimDate.csv that has never existed.</w:t>
      </w:r>
    </w:p>
    <w:tbl>
      <w:tblPr>
        <w:tblStyle w:val="TableGrid"/>
        <w:tblW w:type="auto" w:w="0"/>
        <w:jc w:val="center"/>
        <w:tblLook w:firstColumn="1" w:firstRow="1" w:lastColumn="0" w:lastRow="0" w:noHBand="0" w:noVBand="1" w:val="04A0"/>
      </w:tblPr>
      <w:tblGrid>
        <w:gridCol w:w="3286"/>
        <w:gridCol w:w="3286"/>
        <w:gridCol w:w="3286"/>
      </w:tblGrid>
      <w:tr>
        <w:tc>
          <w:tcPr>
            <w:tcW w:type="dxa" w:w="2948"/>
            <w:shd w:val="clear" w:fill="12305B"/>
          </w:tcPr>
          <w:p>
            <w:pPr>
              <w:spacing w:after="40" w:before="40"/>
            </w:pPr>
            <w:r/>
            <w:r>
              <w:rPr>
                <w:b/>
                <w:color w:val="FFFFFF"/>
                <w:sz w:val="18"/>
              </w:rPr>
              <w:t>Supplied file</w:t>
            </w:r>
          </w:p>
        </w:tc>
        <w:tc>
          <w:tcPr>
            <w:tcW w:type="dxa" w:w="1361"/>
            <w:shd w:val="clear" w:fill="12305B"/>
          </w:tcPr>
          <w:p>
            <w:pPr>
              <w:spacing w:after="40" w:before="40"/>
              <w:jc w:val="right"/>
            </w:pPr>
            <w:r/>
            <w:r>
              <w:rPr>
                <w:b/>
                <w:color w:val="FFFFFF"/>
                <w:sz w:val="18"/>
              </w:rPr>
              <w:t>Bytes</w:t>
            </w:r>
          </w:p>
        </w:tc>
        <w:tc>
          <w:tcPr>
            <w:tcW w:type="dxa" w:w="5046"/>
            <w:shd w:val="clear" w:fill="12305B"/>
          </w:tcPr>
          <w:p>
            <w:pPr>
              <w:spacing w:after="40" w:before="40"/>
            </w:pPr>
            <w:r/>
            <w:r>
              <w:rPr>
                <w:b/>
                <w:color w:val="FFFFFF"/>
                <w:sz w:val="18"/>
              </w:rPr>
              <w:t>Becomes</w:t>
            </w:r>
          </w:p>
        </w:tc>
      </w:tr>
      <w:tr>
        <w:tc>
          <w:tcPr>
            <w:tcW w:type="dxa" w:w="2948"/>
          </w:tcPr>
          <w:p>
            <w:pPr>
              <w:spacing w:after="40" w:before="40"/>
            </w:pPr>
            <w:r/>
            <w:r>
              <w:rPr>
                <w:sz w:val="18"/>
              </w:rPr>
              <w:t>MerchantReference.csv</w:t>
            </w:r>
          </w:p>
        </w:tc>
        <w:tc>
          <w:tcPr>
            <w:tcW w:type="dxa" w:w="1361"/>
          </w:tcPr>
          <w:p>
            <w:pPr>
              <w:spacing w:after="40" w:before="40"/>
              <w:jc w:val="right"/>
            </w:pPr>
            <w:r/>
            <w:r>
              <w:rPr>
                <w:sz w:val="18"/>
              </w:rPr>
              <w:t>2,143</w:t>
            </w:r>
          </w:p>
        </w:tc>
        <w:tc>
          <w:tcPr>
            <w:tcW w:type="dxa" w:w="5046"/>
          </w:tcPr>
          <w:p>
            <w:pPr>
              <w:spacing w:after="40" w:before="40"/>
            </w:pPr>
            <w:r/>
            <w:r>
              <w:rPr>
                <w:sz w:val="18"/>
              </w:rPr>
              <w:t>DimMerchant</w:t>
            </w:r>
          </w:p>
        </w:tc>
      </w:tr>
      <w:tr>
        <w:tc>
          <w:tcPr>
            <w:tcW w:type="dxa" w:w="2948"/>
            <w:shd w:val="clear" w:fill="F2F6FB"/>
          </w:tcPr>
          <w:p>
            <w:pPr>
              <w:spacing w:after="40" w:before="40"/>
            </w:pPr>
            <w:r/>
            <w:r>
              <w:rPr>
                <w:sz w:val="18"/>
              </w:rPr>
              <w:t>MerchantSales.csv</w:t>
            </w:r>
          </w:p>
        </w:tc>
        <w:tc>
          <w:tcPr>
            <w:tcW w:type="dxa" w:w="1361"/>
            <w:shd w:val="clear" w:fill="F2F6FB"/>
          </w:tcPr>
          <w:p>
            <w:pPr>
              <w:spacing w:after="40" w:before="40"/>
              <w:jc w:val="right"/>
            </w:pPr>
            <w:r/>
            <w:r>
              <w:rPr>
                <w:sz w:val="18"/>
              </w:rPr>
              <w:t>2,058,004</w:t>
            </w:r>
          </w:p>
        </w:tc>
        <w:tc>
          <w:tcPr>
            <w:tcW w:type="dxa" w:w="5046"/>
            <w:shd w:val="clear" w:fill="F2F6FB"/>
          </w:tcPr>
          <w:p>
            <w:pPr>
              <w:spacing w:after="40" w:before="40"/>
            </w:pPr>
            <w:r/>
            <w:r>
              <w:rPr>
                <w:sz w:val="18"/>
              </w:rPr>
              <w:t>FactMerchantSales</w:t>
            </w:r>
          </w:p>
        </w:tc>
      </w:tr>
      <w:tr>
        <w:tc>
          <w:tcPr>
            <w:tcW w:type="dxa" w:w="2948"/>
          </w:tcPr>
          <w:p>
            <w:pPr>
              <w:spacing w:after="40" w:before="40"/>
            </w:pPr>
            <w:r/>
            <w:r>
              <w:rPr>
                <w:sz w:val="18"/>
              </w:rPr>
              <w:t>VoucherRedemptions.csv</w:t>
            </w:r>
          </w:p>
        </w:tc>
        <w:tc>
          <w:tcPr>
            <w:tcW w:type="dxa" w:w="1361"/>
          </w:tcPr>
          <w:p>
            <w:pPr>
              <w:spacing w:after="40" w:before="40"/>
              <w:jc w:val="right"/>
            </w:pPr>
            <w:r/>
            <w:r>
              <w:rPr>
                <w:sz w:val="18"/>
              </w:rPr>
              <w:t>9,050,258</w:t>
            </w:r>
          </w:p>
        </w:tc>
        <w:tc>
          <w:tcPr>
            <w:tcW w:type="dxa" w:w="5046"/>
          </w:tcPr>
          <w:p>
            <w:pPr>
              <w:spacing w:after="40" w:before="40"/>
            </w:pPr>
            <w:r/>
            <w:r>
              <w:rPr>
                <w:sz w:val="18"/>
              </w:rPr>
              <w:t>FactVoucherRedemptions</w:t>
            </w:r>
          </w:p>
        </w:tc>
      </w:tr>
      <w:tr>
        <w:tc>
          <w:tcPr>
            <w:tcW w:type="dxa" w:w="2948"/>
            <w:shd w:val="clear" w:fill="F2F6FB"/>
          </w:tcPr>
          <w:p>
            <w:pPr>
              <w:spacing w:after="40" w:before="40"/>
            </w:pPr>
            <w:r/>
            <w:r>
              <w:rPr>
                <w:sz w:val="18"/>
              </w:rPr>
              <w:t>SupportTickets.csv</w:t>
            </w:r>
          </w:p>
        </w:tc>
        <w:tc>
          <w:tcPr>
            <w:tcW w:type="dxa" w:w="1361"/>
            <w:shd w:val="clear" w:fill="F2F6FB"/>
          </w:tcPr>
          <w:p>
            <w:pPr>
              <w:spacing w:after="40" w:before="40"/>
              <w:jc w:val="right"/>
            </w:pPr>
            <w:r/>
            <w:r>
              <w:rPr>
                <w:sz w:val="18"/>
              </w:rPr>
              <w:t>127,372</w:t>
            </w:r>
          </w:p>
        </w:tc>
        <w:tc>
          <w:tcPr>
            <w:tcW w:type="dxa" w:w="5046"/>
            <w:shd w:val="clear" w:fill="F2F6FB"/>
          </w:tcPr>
          <w:p>
            <w:pPr>
              <w:spacing w:after="40" w:before="40"/>
            </w:pPr>
            <w:r/>
            <w:r>
              <w:rPr>
                <w:sz w:val="18"/>
              </w:rPr>
              <w:t>FactSupportTickets</w:t>
            </w:r>
          </w:p>
        </w:tc>
      </w:tr>
      <w:tr>
        <w:tc>
          <w:tcPr>
            <w:tcW w:type="dxa" w:w="2948"/>
          </w:tcPr>
          <w:p>
            <w:pPr>
              <w:spacing w:after="40" w:before="40"/>
            </w:pPr>
            <w:r/>
            <w:r>
              <w:rPr>
                <w:sz w:val="18"/>
              </w:rPr>
              <w:t>README_BI_Interview_Data.txt</w:t>
            </w:r>
          </w:p>
        </w:tc>
        <w:tc>
          <w:tcPr>
            <w:tcW w:type="dxa" w:w="1361"/>
          </w:tcPr>
          <w:p>
            <w:pPr>
              <w:spacing w:after="40" w:before="40"/>
              <w:jc w:val="right"/>
            </w:pPr>
            <w:r/>
            <w:r>
              <w:rPr>
                <w:sz w:val="18"/>
              </w:rPr>
              <w:t>851</w:t>
            </w:r>
          </w:p>
        </w:tc>
        <w:tc>
          <w:tcPr>
            <w:tcW w:type="dxa" w:w="5046"/>
          </w:tcPr>
          <w:p>
            <w:pPr>
              <w:spacing w:after="40" w:before="40"/>
            </w:pPr>
            <w:r/>
            <w:r>
              <w:rPr>
                <w:sz w:val="18"/>
              </w:rPr>
              <w:t>Requirements — names DimDate with no file</w:t>
            </w:r>
          </w:p>
        </w:tc>
      </w:tr>
      <w:tr>
        <w:tc>
          <w:tcPr>
            <w:tcW w:type="dxa" w:w="2948"/>
            <w:shd w:val="clear" w:fill="F2F6FB"/>
          </w:tcPr>
          <w:p>
            <w:pPr>
              <w:spacing w:after="40" w:before="40"/>
            </w:pPr>
            <w:r/>
            <w:r>
              <w:rPr>
                <w:sz w:val="18"/>
              </w:rPr>
              <w:t>DataDictionary.csv</w:t>
            </w:r>
          </w:p>
        </w:tc>
        <w:tc>
          <w:tcPr>
            <w:tcW w:type="dxa" w:w="1361"/>
            <w:shd w:val="clear" w:fill="F2F6FB"/>
          </w:tcPr>
          <w:p>
            <w:pPr>
              <w:spacing w:after="40" w:before="40"/>
              <w:jc w:val="right"/>
            </w:pPr>
            <w:r/>
            <w:r>
              <w:rPr>
                <w:sz w:val="18"/>
              </w:rPr>
              <w:t>740</w:t>
            </w:r>
          </w:p>
        </w:tc>
        <w:tc>
          <w:tcPr>
            <w:tcW w:type="dxa" w:w="5046"/>
            <w:shd w:val="clear" w:fill="F2F6FB"/>
          </w:tcPr>
          <w:p>
            <w:pPr>
              <w:spacing w:after="40" w:before="40"/>
            </w:pPr>
            <w:r/>
            <w:r>
              <w:rPr>
                <w:sz w:val="18"/>
              </w:rPr>
              <w:t>Reconciled in the column lineage below</w:t>
            </w:r>
          </w:p>
        </w:tc>
      </w:tr>
    </w:tbl>
    <w:p>
      <w:pPr>
        <w:spacing w:after="80"/>
      </w:pPr>
    </w:p>
    <w:p>
      <w:pPr>
        <w:spacing w:after="140" w:before="0"/>
      </w:pPr>
      <w:r>
        <w:rPr>
          <w:b w:val="0"/>
          <w:i w:val="0"/>
          <w:sz w:val="21"/>
        </w:rPr>
      </w:r>
    </w:p>
    <w:p>
      <w:pPr>
        <w:pStyle w:val="Heading2"/>
      </w:pPr>
      <w:r>
        <w:t>Source column lineage, and what the supplied dictionary covers</w:t>
      </w:r>
    </w:p>
    <w:p>
      <w:pPr>
        <w:spacing w:after="140" w:before="0"/>
      </w:pPr>
      <w:r>
        <w:rPr>
          <w:b w:val="0"/>
          <w:i w:val="0"/>
          <w:sz w:val="21"/>
        </w:rPr>
        <w:t>The DataDictionary supplied with the drop describes 12 columns. The four CSVs contain 34. Two thirds of the model therefore rests on meanings inferred by profiling rather than stated by the data owner — that is an assumption, and it is recorded as one. Every source column is traced to the gold table it lands in, or marked as deliberately dropped with the reason. The build fails if a column is neither: a field that silently disappears between source and star schema is indistinguishable from a defect.</w:t>
      </w:r>
    </w:p>
    <w:tbl>
      <w:tblPr>
        <w:tblStyle w:val="TableGrid"/>
        <w:tblW w:type="auto" w:w="0"/>
        <w:jc w:val="center"/>
        <w:tblLook w:firstColumn="1" w:firstRow="1" w:lastColumn="0" w:lastRow="0" w:noHBand="0" w:noVBand="1" w:val="04A0"/>
      </w:tblPr>
      <w:tblGrid>
        <w:gridCol w:w="4929"/>
        <w:gridCol w:w="4929"/>
      </w:tblGrid>
      <w:tr>
        <w:tc>
          <w:tcPr>
            <w:tcW w:type="dxa" w:w="5386"/>
            <w:shd w:val="clear" w:fill="12305B"/>
          </w:tcPr>
          <w:p>
            <w:pPr>
              <w:spacing w:after="40" w:before="40"/>
            </w:pPr>
            <w:r/>
            <w:r>
              <w:rPr>
                <w:b/>
                <w:color w:val="FFFFFF"/>
                <w:sz w:val="18"/>
              </w:rPr>
              <w:t>Measure</w:t>
            </w:r>
          </w:p>
        </w:tc>
        <w:tc>
          <w:tcPr>
            <w:tcW w:type="dxa" w:w="2268"/>
            <w:shd w:val="clear" w:fill="12305B"/>
          </w:tcPr>
          <w:p>
            <w:pPr>
              <w:spacing w:after="40" w:before="40"/>
              <w:jc w:val="right"/>
            </w:pPr>
            <w:r/>
            <w:r>
              <w:rPr>
                <w:b/>
                <w:color w:val="FFFFFF"/>
                <w:sz w:val="18"/>
              </w:rPr>
              <w:t>Count</w:t>
            </w:r>
          </w:p>
        </w:tc>
      </w:tr>
      <w:tr>
        <w:tc>
          <w:tcPr>
            <w:tcW w:type="dxa" w:w="5386"/>
          </w:tcPr>
          <w:p>
            <w:pPr>
              <w:spacing w:after="40" w:before="40"/>
            </w:pPr>
            <w:r/>
            <w:r>
              <w:rPr>
                <w:sz w:val="18"/>
              </w:rPr>
              <w:t>Source columns across the four CSVs</w:t>
            </w:r>
          </w:p>
        </w:tc>
        <w:tc>
          <w:tcPr>
            <w:tcW w:type="dxa" w:w="2268"/>
          </w:tcPr>
          <w:p>
            <w:pPr>
              <w:spacing w:after="40" w:before="40"/>
              <w:jc w:val="right"/>
            </w:pPr>
            <w:r/>
            <w:r>
              <w:rPr>
                <w:sz w:val="18"/>
              </w:rPr>
              <w:t>34</w:t>
            </w:r>
          </w:p>
        </w:tc>
      </w:tr>
      <w:tr>
        <w:tc>
          <w:tcPr>
            <w:tcW w:type="dxa" w:w="5386"/>
            <w:shd w:val="clear" w:fill="F2F6FB"/>
          </w:tcPr>
          <w:p>
            <w:pPr>
              <w:spacing w:after="40" w:before="40"/>
            </w:pPr>
            <w:r/>
            <w:r>
              <w:rPr>
                <w:sz w:val="18"/>
              </w:rPr>
              <w:t>Documented in the supplied DataDictionary</w:t>
            </w:r>
          </w:p>
        </w:tc>
        <w:tc>
          <w:tcPr>
            <w:tcW w:type="dxa" w:w="2268"/>
            <w:shd w:val="clear" w:fill="F2F6FB"/>
          </w:tcPr>
          <w:p>
            <w:pPr>
              <w:spacing w:after="40" w:before="40"/>
              <w:jc w:val="right"/>
            </w:pPr>
            <w:r/>
            <w:r>
              <w:rPr>
                <w:sz w:val="18"/>
              </w:rPr>
              <w:t>12  (35%)</w:t>
            </w:r>
          </w:p>
        </w:tc>
      </w:tr>
      <w:tr>
        <w:tc>
          <w:tcPr>
            <w:tcW w:type="dxa" w:w="5386"/>
          </w:tcPr>
          <w:p>
            <w:pPr>
              <w:spacing w:after="40" w:before="40"/>
            </w:pPr>
            <w:r/>
            <w:r>
              <w:rPr>
                <w:sz w:val="18"/>
              </w:rPr>
              <w:t>Meaning inferred by profiling</w:t>
            </w:r>
          </w:p>
        </w:tc>
        <w:tc>
          <w:tcPr>
            <w:tcW w:type="dxa" w:w="2268"/>
          </w:tcPr>
          <w:p>
            <w:pPr>
              <w:spacing w:after="40" w:before="40"/>
              <w:jc w:val="right"/>
            </w:pPr>
            <w:r/>
            <w:r>
              <w:rPr>
                <w:sz w:val="18"/>
              </w:rPr>
              <w:t>22</w:t>
            </w:r>
          </w:p>
        </w:tc>
      </w:tr>
      <w:tr>
        <w:tc>
          <w:tcPr>
            <w:tcW w:type="dxa" w:w="5386"/>
            <w:shd w:val="clear" w:fill="F2F6FB"/>
          </w:tcPr>
          <w:p>
            <w:pPr>
              <w:spacing w:after="40" w:before="40"/>
            </w:pPr>
            <w:r/>
            <w:r>
              <w:rPr>
                <w:sz w:val="18"/>
              </w:rPr>
              <w:t>Carried into the star schema</w:t>
            </w:r>
          </w:p>
        </w:tc>
        <w:tc>
          <w:tcPr>
            <w:tcW w:type="dxa" w:w="2268"/>
            <w:shd w:val="clear" w:fill="F2F6FB"/>
          </w:tcPr>
          <w:p>
            <w:pPr>
              <w:spacing w:after="40" w:before="40"/>
              <w:jc w:val="right"/>
            </w:pPr>
            <w:r/>
            <w:r>
              <w:rPr>
                <w:sz w:val="18"/>
              </w:rPr>
              <w:t>28</w:t>
            </w:r>
          </w:p>
        </w:tc>
      </w:tr>
      <w:tr>
        <w:tc>
          <w:tcPr>
            <w:tcW w:type="dxa" w:w="5386"/>
          </w:tcPr>
          <w:p>
            <w:pPr>
              <w:spacing w:after="40" w:before="40"/>
            </w:pPr>
            <w:r/>
            <w:r>
              <w:rPr>
                <w:sz w:val="18"/>
              </w:rPr>
              <w:t>Deliberately dropped, reason recorded</w:t>
            </w:r>
          </w:p>
        </w:tc>
        <w:tc>
          <w:tcPr>
            <w:tcW w:type="dxa" w:w="2268"/>
          </w:tcPr>
          <w:p>
            <w:pPr>
              <w:spacing w:after="40" w:before="40"/>
              <w:jc w:val="right"/>
            </w:pPr>
            <w:r/>
            <w:r>
              <w:rPr>
                <w:sz w:val="18"/>
              </w:rPr>
              <w:t>6</w:t>
            </w:r>
          </w:p>
        </w:tc>
      </w:tr>
    </w:tbl>
    <w:p>
      <w:pPr>
        <w:spacing w:after="80"/>
      </w:pPr>
    </w:p>
    <w:p>
      <w:pPr>
        <w:spacing w:after="140" w:before="0"/>
      </w:pPr>
      <w:r>
        <w:rPr>
          <w:b w:val="0"/>
          <w:i w:val="0"/>
          <w:sz w:val="21"/>
        </w:rPr>
      </w:r>
    </w:p>
    <w:tbl>
      <w:tblPr>
        <w:tblStyle w:val="TableGrid"/>
        <w:tblW w:type="auto" w:w="0"/>
        <w:jc w:val="center"/>
        <w:tblLook w:firstColumn="1" w:firstRow="1" w:lastColumn="0" w:lastRow="0" w:noHBand="0" w:noVBand="1" w:val="04A0"/>
      </w:tblPr>
      <w:tblGrid>
        <w:gridCol w:w="1972"/>
        <w:gridCol w:w="1972"/>
        <w:gridCol w:w="1972"/>
        <w:gridCol w:w="1972"/>
        <w:gridCol w:w="1972"/>
      </w:tblGrid>
      <w:tr>
        <w:tc>
          <w:tcPr>
            <w:tcW w:type="dxa" w:w="1474"/>
            <w:shd w:val="clear" w:fill="12305B"/>
          </w:tcPr>
          <w:p>
            <w:pPr>
              <w:spacing w:after="40" w:before="40"/>
            </w:pPr>
            <w:r/>
            <w:r>
              <w:rPr>
                <w:b/>
                <w:color w:val="FFFFFF"/>
                <w:sz w:val="15"/>
              </w:rPr>
              <w:t>Source</w:t>
            </w:r>
          </w:p>
        </w:tc>
        <w:tc>
          <w:tcPr>
            <w:tcW w:type="dxa" w:w="1644"/>
            <w:shd w:val="clear" w:fill="12305B"/>
          </w:tcPr>
          <w:p>
            <w:pPr>
              <w:spacing w:after="40" w:before="40"/>
            </w:pPr>
            <w:r/>
            <w:r>
              <w:rPr>
                <w:b/>
                <w:color w:val="FFFFFF"/>
                <w:sz w:val="15"/>
              </w:rPr>
              <w:t>Column</w:t>
            </w:r>
          </w:p>
        </w:tc>
        <w:tc>
          <w:tcPr>
            <w:tcW w:type="dxa" w:w="1077"/>
            <w:shd w:val="clear" w:fill="12305B"/>
          </w:tcPr>
          <w:p>
            <w:pPr>
              <w:spacing w:after="40" w:before="40"/>
            </w:pPr>
            <w:r/>
            <w:r>
              <w:rPr>
                <w:b/>
                <w:color w:val="FFFFFF"/>
                <w:sz w:val="15"/>
              </w:rPr>
              <w:t>Documented</w:t>
            </w:r>
          </w:p>
        </w:tc>
        <w:tc>
          <w:tcPr>
            <w:tcW w:type="dxa" w:w="2438"/>
            <w:shd w:val="clear" w:fill="12305B"/>
          </w:tcPr>
          <w:p>
            <w:pPr>
              <w:spacing w:after="40" w:before="40"/>
            </w:pPr>
            <w:r/>
            <w:r>
              <w:rPr>
                <w:b/>
                <w:color w:val="FFFFFF"/>
                <w:sz w:val="15"/>
              </w:rPr>
              <w:t>Lands in</w:t>
            </w:r>
          </w:p>
        </w:tc>
        <w:tc>
          <w:tcPr>
            <w:tcW w:type="dxa" w:w="2835"/>
            <w:shd w:val="clear" w:fill="12305B"/>
          </w:tcPr>
          <w:p>
            <w:pPr>
              <w:spacing w:after="40" w:before="40"/>
            </w:pPr>
            <w:r/>
            <w:r>
              <w:rPr>
                <w:b/>
                <w:color w:val="FFFFFF"/>
                <w:sz w:val="15"/>
              </w:rPr>
              <w:t>Note</w:t>
            </w:r>
          </w:p>
        </w:tc>
      </w:tr>
      <w:tr>
        <w:tc>
          <w:tcPr>
            <w:tcW w:type="dxa" w:w="1474"/>
          </w:tcPr>
          <w:p>
            <w:pPr>
              <w:spacing w:after="40" w:before="40"/>
            </w:pPr>
            <w:r/>
            <w:r>
              <w:rPr>
                <w:sz w:val="15"/>
              </w:rPr>
              <w:t>MerchantReference</w:t>
            </w:r>
          </w:p>
        </w:tc>
        <w:tc>
          <w:tcPr>
            <w:tcW w:type="dxa" w:w="1644"/>
          </w:tcPr>
          <w:p>
            <w:pPr>
              <w:spacing w:after="40" w:before="40"/>
            </w:pPr>
            <w:r/>
            <w:r>
              <w:rPr>
                <w:sz w:val="15"/>
              </w:rPr>
              <w:t>MerchantID</w:t>
            </w:r>
          </w:p>
        </w:tc>
        <w:tc>
          <w:tcPr>
            <w:tcW w:type="dxa" w:w="1077"/>
          </w:tcPr>
          <w:p>
            <w:pPr>
              <w:spacing w:after="40" w:before="40"/>
            </w:pPr>
            <w:r/>
            <w:r>
              <w:rPr>
                <w:sz w:val="15"/>
              </w:rPr>
              <w:t>Yes</w:t>
            </w:r>
          </w:p>
        </w:tc>
        <w:tc>
          <w:tcPr>
            <w:tcW w:type="dxa" w:w="2438"/>
          </w:tcPr>
          <w:p>
            <w:pPr>
              <w:spacing w:after="40" w:before="40"/>
            </w:pPr>
            <w:r/>
            <w:r>
              <w:rPr>
                <w:sz w:val="15"/>
              </w:rPr>
              <w:t>DimMerchant.MerchantKey</w:t>
            </w:r>
          </w:p>
        </w:tc>
        <w:tc>
          <w:tcPr>
            <w:tcW w:type="dxa" w:w="2835"/>
          </w:tcPr>
          <w:p>
            <w:pPr>
              <w:spacing w:after="40" w:before="40"/>
            </w:pPr>
            <w:r/>
            <w:r>
              <w:rPr>
                <w:sz w:val="15"/>
              </w:rPr>
              <w:t>Surrogate key issued; natural key retained as MerchantID</w:t>
            </w:r>
          </w:p>
        </w:tc>
      </w:tr>
      <w:tr>
        <w:tc>
          <w:tcPr>
            <w:tcW w:type="dxa" w:w="1474"/>
            <w:shd w:val="clear" w:fill="F2F6FB"/>
          </w:tcPr>
          <w:p>
            <w:pPr>
              <w:spacing w:after="40" w:before="40"/>
            </w:pPr>
            <w:r/>
            <w:r>
              <w:rPr>
                <w:sz w:val="15"/>
              </w:rPr>
              <w:t>MerchantReference</w:t>
            </w:r>
          </w:p>
        </w:tc>
        <w:tc>
          <w:tcPr>
            <w:tcW w:type="dxa" w:w="1644"/>
            <w:shd w:val="clear" w:fill="F2F6FB"/>
          </w:tcPr>
          <w:p>
            <w:pPr>
              <w:spacing w:after="40" w:before="40"/>
            </w:pPr>
            <w:r/>
            <w:r>
              <w:rPr>
                <w:sz w:val="15"/>
              </w:rPr>
              <w:t>Merchant</w:t>
            </w:r>
          </w:p>
        </w:tc>
        <w:tc>
          <w:tcPr>
            <w:tcW w:type="dxa" w:w="1077"/>
            <w:shd w:val="clear" w:fill="F2F6FB"/>
          </w:tcPr>
          <w:p>
            <w:pPr>
              <w:spacing w:after="40" w:before="40"/>
            </w:pPr>
            <w:r/>
            <w:r>
              <w:rPr>
                <w:sz w:val="15"/>
              </w:rPr>
              <w:t>Yes</w:t>
            </w:r>
          </w:p>
        </w:tc>
        <w:tc>
          <w:tcPr>
            <w:tcW w:type="dxa" w:w="2438"/>
            <w:shd w:val="clear" w:fill="F2F6FB"/>
          </w:tcPr>
          <w:p>
            <w:pPr>
              <w:spacing w:after="40" w:before="40"/>
            </w:pPr>
            <w:r/>
            <w:r>
              <w:rPr>
                <w:sz w:val="15"/>
              </w:rPr>
              <w:t>DimMerchant.Merchant</w:t>
            </w:r>
          </w:p>
        </w:tc>
        <w:tc>
          <w:tcPr>
            <w:tcW w:type="dxa" w:w="2835"/>
            <w:shd w:val="clear" w:fill="F2F6FB"/>
          </w:tcPr>
          <w:p>
            <w:pPr>
              <w:spacing w:after="40" w:before="40"/>
            </w:pPr>
            <w:r/>
            <w:r>
              <w:rPr>
                <w:sz w:val="15"/>
              </w:rPr>
            </w:r>
          </w:p>
        </w:tc>
      </w:tr>
      <w:tr>
        <w:tc>
          <w:tcPr>
            <w:tcW w:type="dxa" w:w="1474"/>
          </w:tcPr>
          <w:p>
            <w:pPr>
              <w:spacing w:after="40" w:before="40"/>
            </w:pPr>
            <w:r/>
            <w:r>
              <w:rPr>
                <w:sz w:val="15"/>
              </w:rPr>
              <w:t>MerchantReference</w:t>
            </w:r>
          </w:p>
        </w:tc>
        <w:tc>
          <w:tcPr>
            <w:tcW w:type="dxa" w:w="1644"/>
          </w:tcPr>
          <w:p>
            <w:pPr>
              <w:spacing w:after="40" w:before="40"/>
            </w:pPr>
            <w:r/>
            <w:r>
              <w:rPr>
                <w:sz w:val="15"/>
              </w:rPr>
              <w:t>Region</w:t>
            </w:r>
          </w:p>
        </w:tc>
        <w:tc>
          <w:tcPr>
            <w:tcW w:type="dxa" w:w="1077"/>
          </w:tcPr>
          <w:p>
            <w:pPr>
              <w:spacing w:after="40" w:before="40"/>
            </w:pPr>
            <w:r/>
            <w:r>
              <w:rPr>
                <w:sz w:val="15"/>
              </w:rPr>
              <w:t>Yes</w:t>
            </w:r>
          </w:p>
        </w:tc>
        <w:tc>
          <w:tcPr>
            <w:tcW w:type="dxa" w:w="2438"/>
          </w:tcPr>
          <w:p>
            <w:pPr>
              <w:spacing w:after="40" w:before="40"/>
            </w:pPr>
            <w:r/>
            <w:r>
              <w:rPr>
                <w:sz w:val="15"/>
              </w:rPr>
              <w:t>DimMerchant.Region</w:t>
            </w:r>
          </w:p>
        </w:tc>
        <w:tc>
          <w:tcPr>
            <w:tcW w:type="dxa" w:w="2835"/>
          </w:tcPr>
          <w:p>
            <w:pPr>
              <w:spacing w:after="40" w:before="40"/>
            </w:pPr>
            <w:r/>
            <w:r>
              <w:rPr>
                <w:sz w:val="15"/>
              </w:rPr>
              <w:t>Single source of truth for region — the copy on the sales fact is dropped</w:t>
            </w:r>
          </w:p>
        </w:tc>
      </w:tr>
      <w:tr>
        <w:tc>
          <w:tcPr>
            <w:tcW w:type="dxa" w:w="1474"/>
            <w:shd w:val="clear" w:fill="F2F6FB"/>
          </w:tcPr>
          <w:p>
            <w:pPr>
              <w:spacing w:after="40" w:before="40"/>
            </w:pPr>
            <w:r/>
            <w:r>
              <w:rPr>
                <w:sz w:val="15"/>
              </w:rPr>
              <w:t>MerchantReference</w:t>
            </w:r>
          </w:p>
        </w:tc>
        <w:tc>
          <w:tcPr>
            <w:tcW w:type="dxa" w:w="1644"/>
            <w:shd w:val="clear" w:fill="F2F6FB"/>
          </w:tcPr>
          <w:p>
            <w:pPr>
              <w:spacing w:after="40" w:before="40"/>
            </w:pPr>
            <w:r/>
            <w:r>
              <w:rPr>
                <w:sz w:val="15"/>
              </w:rPr>
              <w:t>Channel</w:t>
            </w:r>
          </w:p>
        </w:tc>
        <w:tc>
          <w:tcPr>
            <w:tcW w:type="dxa" w:w="1077"/>
            <w:shd w:val="clear" w:fill="F2F6FB"/>
          </w:tcPr>
          <w:p>
            <w:pPr>
              <w:spacing w:after="40" w:before="40"/>
            </w:pPr>
            <w:r/>
            <w:r>
              <w:rPr>
                <w:sz w:val="15"/>
              </w:rPr>
              <w:t>Yes</w:t>
            </w:r>
          </w:p>
        </w:tc>
        <w:tc>
          <w:tcPr>
            <w:tcW w:type="dxa" w:w="2438"/>
            <w:shd w:val="clear" w:fill="F2F6FB"/>
          </w:tcPr>
          <w:p>
            <w:pPr>
              <w:spacing w:after="40" w:before="40"/>
            </w:pPr>
            <w:r/>
            <w:r>
              <w:rPr>
                <w:sz w:val="15"/>
              </w:rPr>
              <w:t>DimMerchant.Channel</w:t>
            </w:r>
          </w:p>
        </w:tc>
        <w:tc>
          <w:tcPr>
            <w:tcW w:type="dxa" w:w="2835"/>
            <w:shd w:val="clear" w:fill="F2F6FB"/>
          </w:tcPr>
          <w:p>
            <w:pPr>
              <w:spacing w:after="40" w:before="40"/>
            </w:pPr>
            <w:r/>
            <w:r>
              <w:rPr>
                <w:sz w:val="15"/>
              </w:rPr>
            </w:r>
          </w:p>
        </w:tc>
      </w:tr>
      <w:tr>
        <w:tc>
          <w:tcPr>
            <w:tcW w:type="dxa" w:w="1474"/>
          </w:tcPr>
          <w:p>
            <w:pPr>
              <w:spacing w:after="40" w:before="40"/>
            </w:pPr>
            <w:r/>
            <w:r>
              <w:rPr>
                <w:sz w:val="15"/>
              </w:rPr>
              <w:t>MerchantReference</w:t>
            </w:r>
          </w:p>
        </w:tc>
        <w:tc>
          <w:tcPr>
            <w:tcW w:type="dxa" w:w="1644"/>
          </w:tcPr>
          <w:p>
            <w:pPr>
              <w:spacing w:after="40" w:before="40"/>
            </w:pPr>
            <w:r/>
            <w:r>
              <w:rPr>
                <w:sz w:val="15"/>
              </w:rPr>
              <w:t>ActiveStatus</w:t>
            </w:r>
          </w:p>
        </w:tc>
        <w:tc>
          <w:tcPr>
            <w:tcW w:type="dxa" w:w="1077"/>
          </w:tcPr>
          <w:p>
            <w:pPr>
              <w:spacing w:after="40" w:before="40"/>
            </w:pPr>
            <w:r/>
            <w:r>
              <w:rPr>
                <w:sz w:val="15"/>
              </w:rPr>
              <w:t>Inferred</w:t>
            </w:r>
          </w:p>
        </w:tc>
        <w:tc>
          <w:tcPr>
            <w:tcW w:type="dxa" w:w="2438"/>
          </w:tcPr>
          <w:p>
            <w:pPr>
              <w:spacing w:after="40" w:before="40"/>
            </w:pPr>
            <w:r/>
            <w:r>
              <w:rPr>
                <w:sz w:val="15"/>
              </w:rPr>
              <w:t>DimMerchant.ActiveStatus</w:t>
            </w:r>
          </w:p>
        </w:tc>
        <w:tc>
          <w:tcPr>
            <w:tcW w:type="dxa" w:w="2835"/>
          </w:tcPr>
          <w:p>
            <w:pPr>
              <w:spacing w:after="40" w:before="40"/>
            </w:pPr>
            <w:r/>
            <w:r>
              <w:rPr>
                <w:sz w:val="15"/>
              </w:rPr>
              <w:t>Also surfaced as active_status on MerchantValueRisk — a churned merchant must not be scored as an attrition risk</w:t>
            </w:r>
          </w:p>
        </w:tc>
      </w:tr>
      <w:tr>
        <w:tc>
          <w:tcPr>
            <w:tcW w:type="dxa" w:w="1474"/>
            <w:shd w:val="clear" w:fill="F2F6FB"/>
          </w:tcPr>
          <w:p>
            <w:pPr>
              <w:spacing w:after="40" w:before="40"/>
            </w:pPr>
            <w:r/>
            <w:r>
              <w:rPr>
                <w:sz w:val="15"/>
              </w:rPr>
              <w:t>MerchantReference</w:t>
            </w:r>
          </w:p>
        </w:tc>
        <w:tc>
          <w:tcPr>
            <w:tcW w:type="dxa" w:w="1644"/>
            <w:shd w:val="clear" w:fill="F2F6FB"/>
          </w:tcPr>
          <w:p>
            <w:pPr>
              <w:spacing w:after="40" w:before="40"/>
            </w:pPr>
            <w:r/>
            <w:r>
              <w:rPr>
                <w:sz w:val="15"/>
              </w:rPr>
              <w:t>OnboardedDate</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DimMerchant.OnboardedDate</w:t>
            </w:r>
          </w:p>
        </w:tc>
        <w:tc>
          <w:tcPr>
            <w:tcW w:type="dxa" w:w="2835"/>
            <w:shd w:val="clear" w:fill="F2F6FB"/>
          </w:tcPr>
          <w:p>
            <w:pPr>
              <w:spacing w:after="40" w:before="40"/>
            </w:pPr>
            <w:r/>
            <w:r>
              <w:rPr>
                <w:sz w:val="15"/>
              </w:rPr>
              <w:t>Derives TenureMonths and TenureBand</w:t>
            </w:r>
          </w:p>
        </w:tc>
      </w:tr>
      <w:tr>
        <w:tc>
          <w:tcPr>
            <w:tcW w:type="dxa" w:w="1474"/>
          </w:tcPr>
          <w:p>
            <w:pPr>
              <w:spacing w:after="40" w:before="40"/>
            </w:pPr>
            <w:r/>
            <w:r>
              <w:rPr>
                <w:sz w:val="15"/>
              </w:rPr>
              <w:t>MerchantReference</w:t>
            </w:r>
          </w:p>
        </w:tc>
        <w:tc>
          <w:tcPr>
            <w:tcW w:type="dxa" w:w="1644"/>
          </w:tcPr>
          <w:p>
            <w:pPr>
              <w:spacing w:after="40" w:before="40"/>
            </w:pPr>
            <w:r/>
            <w:r>
              <w:rPr>
                <w:sz w:val="15"/>
              </w:rPr>
              <w:t>AccountManager</w:t>
            </w:r>
          </w:p>
        </w:tc>
        <w:tc>
          <w:tcPr>
            <w:tcW w:type="dxa" w:w="1077"/>
          </w:tcPr>
          <w:p>
            <w:pPr>
              <w:spacing w:after="40" w:before="40"/>
            </w:pPr>
            <w:r/>
            <w:r>
              <w:rPr>
                <w:sz w:val="15"/>
              </w:rPr>
              <w:t>Inferred</w:t>
            </w:r>
          </w:p>
        </w:tc>
        <w:tc>
          <w:tcPr>
            <w:tcW w:type="dxa" w:w="2438"/>
          </w:tcPr>
          <w:p>
            <w:pPr>
              <w:spacing w:after="40" w:before="40"/>
            </w:pPr>
            <w:r/>
            <w:r>
              <w:rPr>
                <w:sz w:val="15"/>
              </w:rPr>
              <w:t>DimMerchant.AccountManager</w:t>
            </w:r>
          </w:p>
        </w:tc>
        <w:tc>
          <w:tcPr>
            <w:tcW w:type="dxa" w:w="2835"/>
          </w:tcPr>
          <w:p>
            <w:pPr>
              <w:spacing w:after="40" w:before="40"/>
            </w:pPr>
            <w:r/>
            <w:r>
              <w:rPr>
                <w:sz w:val="15"/>
              </w:rPr>
              <w:t>The owner an at-risk merchant is routed to — carried onto MerchantValueRisk so the risk register is actionable</w:t>
            </w:r>
          </w:p>
        </w:tc>
      </w:tr>
      <w:tr>
        <w:tc>
          <w:tcPr>
            <w:tcW w:type="dxa" w:w="1474"/>
            <w:shd w:val="clear" w:fill="F2F6FB"/>
          </w:tcPr>
          <w:p>
            <w:pPr>
              <w:spacing w:after="40" w:before="40"/>
            </w:pPr>
            <w:r/>
            <w:r>
              <w:rPr>
                <w:sz w:val="15"/>
              </w:rPr>
              <w:t>MerchantReference</w:t>
            </w:r>
          </w:p>
        </w:tc>
        <w:tc>
          <w:tcPr>
            <w:tcW w:type="dxa" w:w="1644"/>
            <w:shd w:val="clear" w:fill="F2F6FB"/>
          </w:tcPr>
          <w:p>
            <w:pPr>
              <w:spacing w:after="40" w:before="40"/>
            </w:pPr>
            <w:r/>
            <w:r>
              <w:rPr>
                <w:sz w:val="15"/>
              </w:rPr>
              <w:t>BaseMonthlySalesTarget</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DimMerchant.BaseMonthlySalesTarget</w:t>
            </w:r>
          </w:p>
        </w:tc>
        <w:tc>
          <w:tcPr>
            <w:tcW w:type="dxa" w:w="2835"/>
            <w:shd w:val="clear" w:fill="F2F6FB"/>
          </w:tcPr>
          <w:p>
            <w:pPr>
              <w:spacing w:after="40" w:before="40"/>
            </w:pPr>
            <w:r/>
            <w:r>
              <w:rPr>
                <w:sz w:val="15"/>
              </w:rPr>
              <w:t>Denominator for target attainment, which is the measure behind the tickets-vs-attainment question</w:t>
            </w:r>
          </w:p>
        </w:tc>
      </w:tr>
      <w:tr>
        <w:tc>
          <w:tcPr>
            <w:tcW w:type="dxa" w:w="1474"/>
          </w:tcPr>
          <w:p>
            <w:pPr>
              <w:spacing w:after="40" w:before="40"/>
            </w:pPr>
            <w:r/>
            <w:r>
              <w:rPr>
                <w:sz w:val="15"/>
              </w:rPr>
              <w:t>MerchantSales</w:t>
            </w:r>
          </w:p>
        </w:tc>
        <w:tc>
          <w:tcPr>
            <w:tcW w:type="dxa" w:w="1644"/>
          </w:tcPr>
          <w:p>
            <w:pPr>
              <w:spacing w:after="40" w:before="40"/>
            </w:pPr>
            <w:r/>
            <w:r>
              <w:rPr>
                <w:sz w:val="15"/>
              </w:rPr>
              <w:t>Date</w:t>
            </w:r>
          </w:p>
        </w:tc>
        <w:tc>
          <w:tcPr>
            <w:tcW w:type="dxa" w:w="1077"/>
          </w:tcPr>
          <w:p>
            <w:pPr>
              <w:spacing w:after="40" w:before="40"/>
            </w:pPr>
            <w:r/>
            <w:r>
              <w:rPr>
                <w:sz w:val="15"/>
              </w:rPr>
              <w:t>Yes</w:t>
            </w:r>
          </w:p>
        </w:tc>
        <w:tc>
          <w:tcPr>
            <w:tcW w:type="dxa" w:w="2438"/>
          </w:tcPr>
          <w:p>
            <w:pPr>
              <w:spacing w:after="40" w:before="40"/>
            </w:pPr>
            <w:r/>
            <w:r>
              <w:rPr>
                <w:sz w:val="15"/>
              </w:rPr>
              <w:t>FactMerchantSales.DateKey</w:t>
            </w:r>
          </w:p>
        </w:tc>
        <w:tc>
          <w:tcPr>
            <w:tcW w:type="dxa" w:w="2835"/>
          </w:tcPr>
          <w:p>
            <w:pPr>
              <w:spacing w:after="40" w:before="40"/>
            </w:pPr>
            <w:r/>
            <w:r>
              <w:rPr>
                <w:sz w:val="15"/>
              </w:rPr>
              <w:t>Converted to an integer date key joining DimDate</w:t>
            </w:r>
          </w:p>
        </w:tc>
      </w:tr>
      <w:tr>
        <w:tc>
          <w:tcPr>
            <w:tcW w:type="dxa" w:w="1474"/>
            <w:shd w:val="clear" w:fill="F2F6FB"/>
          </w:tcPr>
          <w:p>
            <w:pPr>
              <w:spacing w:after="40" w:before="40"/>
            </w:pPr>
            <w:r/>
            <w:r>
              <w:rPr>
                <w:sz w:val="15"/>
              </w:rPr>
              <w:t>MerchantSales</w:t>
            </w:r>
          </w:p>
        </w:tc>
        <w:tc>
          <w:tcPr>
            <w:tcW w:type="dxa" w:w="1644"/>
            <w:shd w:val="clear" w:fill="F2F6FB"/>
          </w:tcPr>
          <w:p>
            <w:pPr>
              <w:spacing w:after="40" w:before="40"/>
            </w:pPr>
            <w:r/>
            <w:r>
              <w:rPr>
                <w:sz w:val="15"/>
              </w:rPr>
              <w:t>MerchantID</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FactMerchantSales.MerchantKey</w:t>
            </w:r>
          </w:p>
        </w:tc>
        <w:tc>
          <w:tcPr>
            <w:tcW w:type="dxa" w:w="2835"/>
            <w:shd w:val="clear" w:fill="F2F6FB"/>
          </w:tcPr>
          <w:p>
            <w:pPr>
              <w:spacing w:after="40" w:before="40"/>
            </w:pPr>
            <w:r/>
            <w:r>
              <w:rPr>
                <w:sz w:val="15"/>
              </w:rPr>
              <w:t>Resolved to the surrogate key</w:t>
            </w:r>
          </w:p>
        </w:tc>
      </w:tr>
      <w:tr>
        <w:tc>
          <w:tcPr>
            <w:tcW w:type="dxa" w:w="1474"/>
          </w:tcPr>
          <w:p>
            <w:pPr>
              <w:spacing w:after="40" w:before="40"/>
            </w:pPr>
            <w:r/>
            <w:r>
              <w:rPr>
                <w:sz w:val="15"/>
              </w:rPr>
              <w:t>MerchantSales</w:t>
            </w:r>
          </w:p>
        </w:tc>
        <w:tc>
          <w:tcPr>
            <w:tcW w:type="dxa" w:w="1644"/>
          </w:tcPr>
          <w:p>
            <w:pPr>
              <w:spacing w:after="40" w:before="40"/>
            </w:pPr>
            <w:r/>
            <w:r>
              <w:rPr>
                <w:sz w:val="15"/>
              </w:rPr>
              <w:t>Merchant</w:t>
            </w:r>
          </w:p>
        </w:tc>
        <w:tc>
          <w:tcPr>
            <w:tcW w:type="dxa" w:w="1077"/>
          </w:tcPr>
          <w:p>
            <w:pPr>
              <w:spacing w:after="40" w:before="40"/>
            </w:pPr>
            <w:r/>
            <w:r>
              <w:rPr>
                <w:sz w:val="15"/>
              </w:rPr>
              <w:t>Inferred</w:t>
            </w:r>
          </w:p>
        </w:tc>
        <w:tc>
          <w:tcPr>
            <w:tcW w:type="dxa" w:w="2438"/>
          </w:tcPr>
          <w:p>
            <w:pPr>
              <w:spacing w:after="40" w:before="40"/>
            </w:pPr>
            <w:r/>
            <w:r>
              <w:rPr>
                <w:sz w:val="15"/>
              </w:rPr>
              <w:t>DROPPED</w:t>
            </w:r>
          </w:p>
        </w:tc>
        <w:tc>
          <w:tcPr>
            <w:tcW w:type="dxa" w:w="2835"/>
          </w:tcPr>
          <w:p>
            <w:pPr>
              <w:spacing w:after="40" w:before="40"/>
            </w:pPr>
            <w:r/>
            <w:r>
              <w:rPr>
                <w:sz w:val="15"/>
              </w:rPr>
              <w:t>100% agreement with MerchantReference (profiled). Keeping it would allow two competing versions of merchant name in one model</w:t>
            </w:r>
          </w:p>
        </w:tc>
      </w:tr>
      <w:tr>
        <w:tc>
          <w:tcPr>
            <w:tcW w:type="dxa" w:w="1474"/>
            <w:shd w:val="clear" w:fill="F2F6FB"/>
          </w:tcPr>
          <w:p>
            <w:pPr>
              <w:spacing w:after="40" w:before="40"/>
            </w:pPr>
            <w:r/>
            <w:r>
              <w:rPr>
                <w:sz w:val="15"/>
              </w:rPr>
              <w:t>MerchantSales</w:t>
            </w:r>
          </w:p>
        </w:tc>
        <w:tc>
          <w:tcPr>
            <w:tcW w:type="dxa" w:w="1644"/>
            <w:shd w:val="clear" w:fill="F2F6FB"/>
          </w:tcPr>
          <w:p>
            <w:pPr>
              <w:spacing w:after="40" w:before="40"/>
            </w:pPr>
            <w:r/>
            <w:r>
              <w:rPr>
                <w:sz w:val="15"/>
              </w:rPr>
              <w:t>Region</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DROPPED</w:t>
            </w:r>
          </w:p>
        </w:tc>
        <w:tc>
          <w:tcPr>
            <w:tcW w:type="dxa" w:w="2835"/>
            <w:shd w:val="clear" w:fill="F2F6FB"/>
          </w:tcPr>
          <w:p>
            <w:pPr>
              <w:spacing w:after="40" w:before="40"/>
            </w:pPr>
            <w:r/>
            <w:r>
              <w:rPr>
                <w:sz w:val="15"/>
              </w:rPr>
              <w:t>100% agreement with MerchantReference (profiled). Region belongs on the dimension</w:t>
            </w:r>
          </w:p>
        </w:tc>
      </w:tr>
      <w:tr>
        <w:tc>
          <w:tcPr>
            <w:tcW w:type="dxa" w:w="1474"/>
          </w:tcPr>
          <w:p>
            <w:pPr>
              <w:spacing w:after="40" w:before="40"/>
            </w:pPr>
            <w:r/>
            <w:r>
              <w:rPr>
                <w:sz w:val="15"/>
              </w:rPr>
              <w:t>MerchantSales</w:t>
            </w:r>
          </w:p>
        </w:tc>
        <w:tc>
          <w:tcPr>
            <w:tcW w:type="dxa" w:w="1644"/>
          </w:tcPr>
          <w:p>
            <w:pPr>
              <w:spacing w:after="40" w:before="40"/>
            </w:pPr>
            <w:r/>
            <w:r>
              <w:rPr>
                <w:sz w:val="15"/>
              </w:rPr>
              <w:t>Channel</w:t>
            </w:r>
          </w:p>
        </w:tc>
        <w:tc>
          <w:tcPr>
            <w:tcW w:type="dxa" w:w="1077"/>
          </w:tcPr>
          <w:p>
            <w:pPr>
              <w:spacing w:after="40" w:before="40"/>
            </w:pPr>
            <w:r/>
            <w:r>
              <w:rPr>
                <w:sz w:val="15"/>
              </w:rPr>
              <w:t>Inferred</w:t>
            </w:r>
          </w:p>
        </w:tc>
        <w:tc>
          <w:tcPr>
            <w:tcW w:type="dxa" w:w="2438"/>
          </w:tcPr>
          <w:p>
            <w:pPr>
              <w:spacing w:after="40" w:before="40"/>
            </w:pPr>
            <w:r/>
            <w:r>
              <w:rPr>
                <w:sz w:val="15"/>
              </w:rPr>
              <w:t>DROPPED</w:t>
            </w:r>
          </w:p>
        </w:tc>
        <w:tc>
          <w:tcPr>
            <w:tcW w:type="dxa" w:w="2835"/>
          </w:tcPr>
          <w:p>
            <w:pPr>
              <w:spacing w:after="40" w:before="40"/>
            </w:pPr>
            <w:r/>
            <w:r>
              <w:rPr>
                <w:sz w:val="15"/>
              </w:rPr>
              <w:t>100% agreement with MerchantReference (profiled)</w:t>
            </w:r>
          </w:p>
        </w:tc>
      </w:tr>
      <w:tr>
        <w:tc>
          <w:tcPr>
            <w:tcW w:type="dxa" w:w="1474"/>
            <w:shd w:val="clear" w:fill="F2F6FB"/>
          </w:tcPr>
          <w:p>
            <w:pPr>
              <w:spacing w:after="40" w:before="40"/>
            </w:pPr>
            <w:r/>
            <w:r>
              <w:rPr>
                <w:sz w:val="15"/>
              </w:rPr>
              <w:t>MerchantSales</w:t>
            </w:r>
          </w:p>
        </w:tc>
        <w:tc>
          <w:tcPr>
            <w:tcW w:type="dxa" w:w="1644"/>
            <w:shd w:val="clear" w:fill="F2F6FB"/>
          </w:tcPr>
          <w:p>
            <w:pPr>
              <w:spacing w:after="40" w:before="40"/>
            </w:pPr>
            <w:r/>
            <w:r>
              <w:rPr>
                <w:sz w:val="15"/>
              </w:rPr>
              <w:t>VoucherType</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FactMerchantSales.VoucherTypeKey</w:t>
            </w:r>
          </w:p>
        </w:tc>
        <w:tc>
          <w:tcPr>
            <w:tcW w:type="dxa" w:w="2835"/>
            <w:shd w:val="clear" w:fill="F2F6FB"/>
          </w:tcPr>
          <w:p>
            <w:pPr>
              <w:spacing w:after="40" w:before="40"/>
            </w:pPr>
            <w:r/>
            <w:r>
              <w:rPr>
                <w:sz w:val="15"/>
              </w:rPr>
              <w:t>Resolved against DimVoucherType — conformed with the redemption fact</w:t>
            </w:r>
          </w:p>
        </w:tc>
      </w:tr>
      <w:tr>
        <w:tc>
          <w:tcPr>
            <w:tcW w:type="dxa" w:w="1474"/>
          </w:tcPr>
          <w:p>
            <w:pPr>
              <w:spacing w:after="40" w:before="40"/>
            </w:pPr>
            <w:r/>
            <w:r>
              <w:rPr>
                <w:sz w:val="15"/>
              </w:rPr>
              <w:t>MerchantSales</w:t>
            </w:r>
          </w:p>
        </w:tc>
        <w:tc>
          <w:tcPr>
            <w:tcW w:type="dxa" w:w="1644"/>
          </w:tcPr>
          <w:p>
            <w:pPr>
              <w:spacing w:after="40" w:before="40"/>
            </w:pPr>
            <w:r/>
            <w:r>
              <w:rPr>
                <w:sz w:val="15"/>
              </w:rPr>
              <w:t>SalesValue</w:t>
            </w:r>
          </w:p>
        </w:tc>
        <w:tc>
          <w:tcPr>
            <w:tcW w:type="dxa" w:w="1077"/>
          </w:tcPr>
          <w:p>
            <w:pPr>
              <w:spacing w:after="40" w:before="40"/>
            </w:pPr>
            <w:r/>
            <w:r>
              <w:rPr>
                <w:sz w:val="15"/>
              </w:rPr>
              <w:t>Yes</w:t>
            </w:r>
          </w:p>
        </w:tc>
        <w:tc>
          <w:tcPr>
            <w:tcW w:type="dxa" w:w="2438"/>
          </w:tcPr>
          <w:p>
            <w:pPr>
              <w:spacing w:after="40" w:before="40"/>
            </w:pPr>
            <w:r/>
            <w:r>
              <w:rPr>
                <w:sz w:val="15"/>
              </w:rPr>
              <w:t>FactMerchantSales.SalesValue</w:t>
            </w:r>
          </w:p>
        </w:tc>
        <w:tc>
          <w:tcPr>
            <w:tcW w:type="dxa" w:w="2835"/>
          </w:tcPr>
          <w:p>
            <w:pPr>
              <w:spacing w:after="40" w:before="40"/>
            </w:pPr>
            <w:r/>
            <w:r>
              <w:rPr>
                <w:sz w:val="15"/>
              </w:rPr>
              <w:t>Additive measure</w:t>
            </w:r>
          </w:p>
        </w:tc>
      </w:tr>
      <w:tr>
        <w:tc>
          <w:tcPr>
            <w:tcW w:type="dxa" w:w="1474"/>
            <w:shd w:val="clear" w:fill="F2F6FB"/>
          </w:tcPr>
          <w:p>
            <w:pPr>
              <w:spacing w:after="40" w:before="40"/>
            </w:pPr>
            <w:r/>
            <w:r>
              <w:rPr>
                <w:sz w:val="15"/>
              </w:rPr>
              <w:t>MerchantSales</w:t>
            </w:r>
          </w:p>
        </w:tc>
        <w:tc>
          <w:tcPr>
            <w:tcW w:type="dxa" w:w="1644"/>
            <w:shd w:val="clear" w:fill="F2F6FB"/>
          </w:tcPr>
          <w:p>
            <w:pPr>
              <w:spacing w:after="40" w:before="40"/>
            </w:pPr>
            <w:r/>
            <w:r>
              <w:rPr>
                <w:sz w:val="15"/>
              </w:rPr>
              <w:t>Transactions</w:t>
            </w:r>
          </w:p>
        </w:tc>
        <w:tc>
          <w:tcPr>
            <w:tcW w:type="dxa" w:w="1077"/>
            <w:shd w:val="clear" w:fill="F2F6FB"/>
          </w:tcPr>
          <w:p>
            <w:pPr>
              <w:spacing w:after="40" w:before="40"/>
            </w:pPr>
            <w:r/>
            <w:r>
              <w:rPr>
                <w:sz w:val="15"/>
              </w:rPr>
              <w:t>Yes</w:t>
            </w:r>
          </w:p>
        </w:tc>
        <w:tc>
          <w:tcPr>
            <w:tcW w:type="dxa" w:w="2438"/>
            <w:shd w:val="clear" w:fill="F2F6FB"/>
          </w:tcPr>
          <w:p>
            <w:pPr>
              <w:spacing w:after="40" w:before="40"/>
            </w:pPr>
            <w:r/>
            <w:r>
              <w:rPr>
                <w:sz w:val="15"/>
              </w:rPr>
              <w:t>FactMerchantSales.Transactions</w:t>
            </w:r>
          </w:p>
        </w:tc>
        <w:tc>
          <w:tcPr>
            <w:tcW w:type="dxa" w:w="2835"/>
            <w:shd w:val="clear" w:fill="F2F6FB"/>
          </w:tcPr>
          <w:p>
            <w:pPr>
              <w:spacing w:after="40" w:before="40"/>
            </w:pPr>
            <w:r/>
            <w:r>
              <w:rPr>
                <w:sz w:val="15"/>
              </w:rPr>
              <w:t>Additive measure</w:t>
            </w:r>
          </w:p>
        </w:tc>
      </w:tr>
      <w:tr>
        <w:tc>
          <w:tcPr>
            <w:tcW w:type="dxa" w:w="1474"/>
          </w:tcPr>
          <w:p>
            <w:pPr>
              <w:spacing w:after="40" w:before="40"/>
            </w:pPr>
            <w:r/>
            <w:r>
              <w:rPr>
                <w:sz w:val="15"/>
              </w:rPr>
              <w:t>VoucherRedemptions</w:t>
            </w:r>
          </w:p>
        </w:tc>
        <w:tc>
          <w:tcPr>
            <w:tcW w:type="dxa" w:w="1644"/>
          </w:tcPr>
          <w:p>
            <w:pPr>
              <w:spacing w:after="40" w:before="40"/>
            </w:pPr>
            <w:r/>
            <w:r>
              <w:rPr>
                <w:sz w:val="15"/>
              </w:rPr>
              <w:t>VoucherID</w:t>
            </w:r>
          </w:p>
        </w:tc>
        <w:tc>
          <w:tcPr>
            <w:tcW w:type="dxa" w:w="1077"/>
          </w:tcPr>
          <w:p>
            <w:pPr>
              <w:spacing w:after="40" w:before="40"/>
            </w:pPr>
            <w:r/>
            <w:r>
              <w:rPr>
                <w:sz w:val="15"/>
              </w:rPr>
              <w:t>Inferred</w:t>
            </w:r>
          </w:p>
        </w:tc>
        <w:tc>
          <w:tcPr>
            <w:tcW w:type="dxa" w:w="2438"/>
          </w:tcPr>
          <w:p>
            <w:pPr>
              <w:spacing w:after="40" w:before="40"/>
            </w:pPr>
            <w:r/>
            <w:r>
              <w:rPr>
                <w:sz w:val="15"/>
              </w:rPr>
              <w:t>FactVoucherRedemptions.VoucherID</w:t>
            </w:r>
          </w:p>
        </w:tc>
        <w:tc>
          <w:tcPr>
            <w:tcW w:type="dxa" w:w="2835"/>
          </w:tcPr>
          <w:p>
            <w:pPr>
              <w:spacing w:after="40" w:before="40"/>
            </w:pPr>
            <w:r/>
            <w:r>
              <w:rPr>
                <w:sz w:val="15"/>
              </w:rPr>
              <w:t>Degenerate dimension — unique by construction, which is why duplicate-redemption fraud cannot be detected in this extract</w:t>
            </w:r>
          </w:p>
        </w:tc>
      </w:tr>
      <w:tr>
        <w:tc>
          <w:tcPr>
            <w:tcW w:type="dxa" w:w="1474"/>
            <w:shd w:val="clear" w:fill="F2F6FB"/>
          </w:tcPr>
          <w:p>
            <w:pPr>
              <w:spacing w:after="40" w:before="40"/>
            </w:pPr>
            <w:r/>
            <w:r>
              <w:rPr>
                <w:sz w:val="15"/>
              </w:rPr>
              <w:t>VoucherRedemptions</w:t>
            </w:r>
          </w:p>
        </w:tc>
        <w:tc>
          <w:tcPr>
            <w:tcW w:type="dxa" w:w="1644"/>
            <w:shd w:val="clear" w:fill="F2F6FB"/>
          </w:tcPr>
          <w:p>
            <w:pPr>
              <w:spacing w:after="40" w:before="40"/>
            </w:pPr>
            <w:r/>
            <w:r>
              <w:rPr>
                <w:sz w:val="15"/>
              </w:rPr>
              <w:t>MerchantID</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FactVoucherRedemptions.MerchantKey</w:t>
            </w:r>
          </w:p>
        </w:tc>
        <w:tc>
          <w:tcPr>
            <w:tcW w:type="dxa" w:w="2835"/>
            <w:shd w:val="clear" w:fill="F2F6FB"/>
          </w:tcPr>
          <w:p>
            <w:pPr>
              <w:spacing w:after="40" w:before="40"/>
            </w:pPr>
            <w:r/>
            <w:r>
              <w:rPr>
                <w:sz w:val="15"/>
              </w:rPr>
            </w:r>
          </w:p>
        </w:tc>
      </w:tr>
      <w:tr>
        <w:tc>
          <w:tcPr>
            <w:tcW w:type="dxa" w:w="1474"/>
          </w:tcPr>
          <w:p>
            <w:pPr>
              <w:spacing w:after="40" w:before="40"/>
            </w:pPr>
            <w:r/>
            <w:r>
              <w:rPr>
                <w:sz w:val="15"/>
              </w:rPr>
              <w:t>VoucherRedemptions</w:t>
            </w:r>
          </w:p>
        </w:tc>
        <w:tc>
          <w:tcPr>
            <w:tcW w:type="dxa" w:w="1644"/>
          </w:tcPr>
          <w:p>
            <w:pPr>
              <w:spacing w:after="40" w:before="40"/>
            </w:pPr>
            <w:r/>
            <w:r>
              <w:rPr>
                <w:sz w:val="15"/>
              </w:rPr>
              <w:t>Merchant</w:t>
            </w:r>
          </w:p>
        </w:tc>
        <w:tc>
          <w:tcPr>
            <w:tcW w:type="dxa" w:w="1077"/>
          </w:tcPr>
          <w:p>
            <w:pPr>
              <w:spacing w:after="40" w:before="40"/>
            </w:pPr>
            <w:r/>
            <w:r>
              <w:rPr>
                <w:sz w:val="15"/>
              </w:rPr>
              <w:t>Inferred</w:t>
            </w:r>
          </w:p>
        </w:tc>
        <w:tc>
          <w:tcPr>
            <w:tcW w:type="dxa" w:w="2438"/>
          </w:tcPr>
          <w:p>
            <w:pPr>
              <w:spacing w:after="40" w:before="40"/>
            </w:pPr>
            <w:r/>
            <w:r>
              <w:rPr>
                <w:sz w:val="15"/>
              </w:rPr>
              <w:t>DROPPED</w:t>
            </w:r>
          </w:p>
        </w:tc>
        <w:tc>
          <w:tcPr>
            <w:tcW w:type="dxa" w:w="2835"/>
          </w:tcPr>
          <w:p>
            <w:pPr>
              <w:spacing w:after="40" w:before="40"/>
            </w:pPr>
            <w:r/>
            <w:r>
              <w:rPr>
                <w:sz w:val="15"/>
              </w:rPr>
              <w:t>Redundant copy of the merchant name — resolved via DimMerchant</w:t>
            </w:r>
          </w:p>
        </w:tc>
      </w:tr>
      <w:tr>
        <w:tc>
          <w:tcPr>
            <w:tcW w:type="dxa" w:w="1474"/>
            <w:shd w:val="clear" w:fill="F2F6FB"/>
          </w:tcPr>
          <w:p>
            <w:pPr>
              <w:spacing w:after="40" w:before="40"/>
            </w:pPr>
            <w:r/>
            <w:r>
              <w:rPr>
                <w:sz w:val="15"/>
              </w:rPr>
              <w:t>VoucherRedemptions</w:t>
            </w:r>
          </w:p>
        </w:tc>
        <w:tc>
          <w:tcPr>
            <w:tcW w:type="dxa" w:w="1644"/>
            <w:shd w:val="clear" w:fill="F2F6FB"/>
          </w:tcPr>
          <w:p>
            <w:pPr>
              <w:spacing w:after="40" w:before="40"/>
            </w:pPr>
            <w:r/>
            <w:r>
              <w:rPr>
                <w:sz w:val="15"/>
              </w:rPr>
              <w:t>SoldDate</w:t>
            </w:r>
          </w:p>
        </w:tc>
        <w:tc>
          <w:tcPr>
            <w:tcW w:type="dxa" w:w="1077"/>
            <w:shd w:val="clear" w:fill="F2F6FB"/>
          </w:tcPr>
          <w:p>
            <w:pPr>
              <w:spacing w:after="40" w:before="40"/>
            </w:pPr>
            <w:r/>
            <w:r>
              <w:rPr>
                <w:sz w:val="15"/>
              </w:rPr>
              <w:t>Yes</w:t>
            </w:r>
          </w:p>
        </w:tc>
        <w:tc>
          <w:tcPr>
            <w:tcW w:type="dxa" w:w="2438"/>
            <w:shd w:val="clear" w:fill="F2F6FB"/>
          </w:tcPr>
          <w:p>
            <w:pPr>
              <w:spacing w:after="40" w:before="40"/>
            </w:pPr>
            <w:r/>
            <w:r>
              <w:rPr>
                <w:sz w:val="15"/>
              </w:rPr>
              <w:t>FactVoucherRedemptions.SoldDateKey</w:t>
            </w:r>
          </w:p>
        </w:tc>
        <w:tc>
          <w:tcPr>
            <w:tcW w:type="dxa" w:w="2835"/>
            <w:shd w:val="clear" w:fill="F2F6FB"/>
          </w:tcPr>
          <w:p>
            <w:pPr>
              <w:spacing w:after="40" w:before="40"/>
            </w:pPr>
            <w:r/>
            <w:r>
              <w:rPr>
                <w:sz w:val="15"/>
              </w:rPr>
              <w:t>ACTIVE relationship to DimDate</w:t>
            </w:r>
          </w:p>
        </w:tc>
      </w:tr>
      <w:tr>
        <w:tc>
          <w:tcPr>
            <w:tcW w:type="dxa" w:w="1474"/>
          </w:tcPr>
          <w:p>
            <w:pPr>
              <w:spacing w:after="40" w:before="40"/>
            </w:pPr>
            <w:r/>
            <w:r>
              <w:rPr>
                <w:sz w:val="15"/>
              </w:rPr>
              <w:t>VoucherRedemptions</w:t>
            </w:r>
          </w:p>
        </w:tc>
        <w:tc>
          <w:tcPr>
            <w:tcW w:type="dxa" w:w="1644"/>
          </w:tcPr>
          <w:p>
            <w:pPr>
              <w:spacing w:after="40" w:before="40"/>
            </w:pPr>
            <w:r/>
            <w:r>
              <w:rPr>
                <w:sz w:val="15"/>
              </w:rPr>
              <w:t>VoucherType</w:t>
            </w:r>
          </w:p>
        </w:tc>
        <w:tc>
          <w:tcPr>
            <w:tcW w:type="dxa" w:w="1077"/>
          </w:tcPr>
          <w:p>
            <w:pPr>
              <w:spacing w:after="40" w:before="40"/>
            </w:pPr>
            <w:r/>
            <w:r>
              <w:rPr>
                <w:sz w:val="15"/>
              </w:rPr>
              <w:t>Inferred</w:t>
            </w:r>
          </w:p>
        </w:tc>
        <w:tc>
          <w:tcPr>
            <w:tcW w:type="dxa" w:w="2438"/>
          </w:tcPr>
          <w:p>
            <w:pPr>
              <w:spacing w:after="40" w:before="40"/>
            </w:pPr>
            <w:r/>
            <w:r>
              <w:rPr>
                <w:sz w:val="15"/>
              </w:rPr>
              <w:t>FactVoucherRedemptions.VoucherTypeKey</w:t>
            </w:r>
          </w:p>
        </w:tc>
        <w:tc>
          <w:tcPr>
            <w:tcW w:type="dxa" w:w="2835"/>
          </w:tcPr>
          <w:p>
            <w:pPr>
              <w:spacing w:after="40" w:before="40"/>
            </w:pPr>
            <w:r/>
            <w:r>
              <w:rPr>
                <w:sz w:val="15"/>
              </w:rPr>
            </w:r>
          </w:p>
        </w:tc>
      </w:tr>
      <w:tr>
        <w:tc>
          <w:tcPr>
            <w:tcW w:type="dxa" w:w="1474"/>
            <w:shd w:val="clear" w:fill="F2F6FB"/>
          </w:tcPr>
          <w:p>
            <w:pPr>
              <w:spacing w:after="40" w:before="40"/>
            </w:pPr>
            <w:r/>
            <w:r>
              <w:rPr>
                <w:sz w:val="15"/>
              </w:rPr>
              <w:t>VoucherRedemptions</w:t>
            </w:r>
          </w:p>
        </w:tc>
        <w:tc>
          <w:tcPr>
            <w:tcW w:type="dxa" w:w="1644"/>
            <w:shd w:val="clear" w:fill="F2F6FB"/>
          </w:tcPr>
          <w:p>
            <w:pPr>
              <w:spacing w:after="40" w:before="40"/>
            </w:pPr>
            <w:r/>
            <w:r>
              <w:rPr>
                <w:sz w:val="15"/>
              </w:rPr>
              <w:t>VoucherValue</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FactVoucherRedemptions.VoucherValue</w:t>
            </w:r>
          </w:p>
        </w:tc>
        <w:tc>
          <w:tcPr>
            <w:tcW w:type="dxa" w:w="2835"/>
            <w:shd w:val="clear" w:fill="F2F6FB"/>
          </w:tcPr>
          <w:p>
            <w:pPr>
              <w:spacing w:after="40" w:before="40"/>
            </w:pPr>
            <w:r/>
            <w:r>
              <w:rPr>
                <w:sz w:val="15"/>
              </w:rPr>
            </w:r>
          </w:p>
        </w:tc>
      </w:tr>
      <w:tr>
        <w:tc>
          <w:tcPr>
            <w:tcW w:type="dxa" w:w="1474"/>
          </w:tcPr>
          <w:p>
            <w:pPr>
              <w:spacing w:after="40" w:before="40"/>
            </w:pPr>
            <w:r/>
            <w:r>
              <w:rPr>
                <w:sz w:val="15"/>
              </w:rPr>
              <w:t>VoucherRedemptions</w:t>
            </w:r>
          </w:p>
        </w:tc>
        <w:tc>
          <w:tcPr>
            <w:tcW w:type="dxa" w:w="1644"/>
          </w:tcPr>
          <w:p>
            <w:pPr>
              <w:spacing w:after="40" w:before="40"/>
            </w:pPr>
            <w:r/>
            <w:r>
              <w:rPr>
                <w:sz w:val="15"/>
              </w:rPr>
              <w:t>Redeemed</w:t>
            </w:r>
          </w:p>
        </w:tc>
        <w:tc>
          <w:tcPr>
            <w:tcW w:type="dxa" w:w="1077"/>
          </w:tcPr>
          <w:p>
            <w:pPr>
              <w:spacing w:after="40" w:before="40"/>
            </w:pPr>
            <w:r/>
            <w:r>
              <w:rPr>
                <w:sz w:val="15"/>
              </w:rPr>
              <w:t>Yes</w:t>
            </w:r>
          </w:p>
        </w:tc>
        <w:tc>
          <w:tcPr>
            <w:tcW w:type="dxa" w:w="2438"/>
          </w:tcPr>
          <w:p>
            <w:pPr>
              <w:spacing w:after="40" w:before="40"/>
            </w:pPr>
            <w:r/>
            <w:r>
              <w:rPr>
                <w:sz w:val="15"/>
              </w:rPr>
              <w:t>FactVoucherRedemptions.IsRedeemed</w:t>
            </w:r>
          </w:p>
        </w:tc>
        <w:tc>
          <w:tcPr>
            <w:tcW w:type="dxa" w:w="2835"/>
          </w:tcPr>
          <w:p>
            <w:pPr>
              <w:spacing w:after="40" w:before="40"/>
            </w:pPr>
            <w:r/>
            <w:r>
              <w:rPr>
                <w:sz w:val="15"/>
              </w:rPr>
              <w:t>Yes/No text converted to 1/0 so it sums</w:t>
            </w:r>
          </w:p>
        </w:tc>
      </w:tr>
      <w:tr>
        <w:tc>
          <w:tcPr>
            <w:tcW w:type="dxa" w:w="1474"/>
            <w:shd w:val="clear" w:fill="F2F6FB"/>
          </w:tcPr>
          <w:p>
            <w:pPr>
              <w:spacing w:after="40" w:before="40"/>
            </w:pPr>
            <w:r/>
            <w:r>
              <w:rPr>
                <w:sz w:val="15"/>
              </w:rPr>
              <w:t>VoucherRedemptions</w:t>
            </w:r>
          </w:p>
        </w:tc>
        <w:tc>
          <w:tcPr>
            <w:tcW w:type="dxa" w:w="1644"/>
            <w:shd w:val="clear" w:fill="F2F6FB"/>
          </w:tcPr>
          <w:p>
            <w:pPr>
              <w:spacing w:after="40" w:before="40"/>
            </w:pPr>
            <w:r/>
            <w:r>
              <w:rPr>
                <w:sz w:val="15"/>
              </w:rPr>
              <w:t>RedeemedDate</w:t>
            </w:r>
          </w:p>
        </w:tc>
        <w:tc>
          <w:tcPr>
            <w:tcW w:type="dxa" w:w="1077"/>
            <w:shd w:val="clear" w:fill="F2F6FB"/>
          </w:tcPr>
          <w:p>
            <w:pPr>
              <w:spacing w:after="40" w:before="40"/>
            </w:pPr>
            <w:r/>
            <w:r>
              <w:rPr>
                <w:sz w:val="15"/>
              </w:rPr>
              <w:t>Yes</w:t>
            </w:r>
          </w:p>
        </w:tc>
        <w:tc>
          <w:tcPr>
            <w:tcW w:type="dxa" w:w="2438"/>
            <w:shd w:val="clear" w:fill="F2F6FB"/>
          </w:tcPr>
          <w:p>
            <w:pPr>
              <w:spacing w:after="40" w:before="40"/>
            </w:pPr>
            <w:r/>
            <w:r>
              <w:rPr>
                <w:sz w:val="15"/>
              </w:rPr>
              <w:t>FactVoucherRedemptions.RedeemedDateKey</w:t>
            </w:r>
          </w:p>
        </w:tc>
        <w:tc>
          <w:tcPr>
            <w:tcW w:type="dxa" w:w="2835"/>
            <w:shd w:val="clear" w:fill="F2F6FB"/>
          </w:tcPr>
          <w:p>
            <w:pPr>
              <w:spacing w:after="40" w:before="40"/>
            </w:pPr>
            <w:r/>
            <w:r>
              <w:rPr>
                <w:sz w:val="15"/>
              </w:rPr>
              <w:t>INACTIVE relationship, activated by USERELATIONSHIP. Blank when unredeemed — kept blank, not defaulted</w:t>
            </w:r>
          </w:p>
        </w:tc>
      </w:tr>
      <w:tr>
        <w:tc>
          <w:tcPr>
            <w:tcW w:type="dxa" w:w="1474"/>
          </w:tcPr>
          <w:p>
            <w:pPr>
              <w:spacing w:after="40" w:before="40"/>
            </w:pPr>
            <w:r/>
            <w:r>
              <w:rPr>
                <w:sz w:val="15"/>
              </w:rPr>
              <w:t>SupportTickets</w:t>
            </w:r>
          </w:p>
        </w:tc>
        <w:tc>
          <w:tcPr>
            <w:tcW w:type="dxa" w:w="1644"/>
          </w:tcPr>
          <w:p>
            <w:pPr>
              <w:spacing w:after="40" w:before="40"/>
            </w:pPr>
            <w:r/>
            <w:r>
              <w:rPr>
                <w:sz w:val="15"/>
              </w:rPr>
              <w:t>TicketID</w:t>
            </w:r>
          </w:p>
        </w:tc>
        <w:tc>
          <w:tcPr>
            <w:tcW w:type="dxa" w:w="1077"/>
          </w:tcPr>
          <w:p>
            <w:pPr>
              <w:spacing w:after="40" w:before="40"/>
            </w:pPr>
            <w:r/>
            <w:r>
              <w:rPr>
                <w:sz w:val="15"/>
              </w:rPr>
              <w:t>Inferred</w:t>
            </w:r>
          </w:p>
        </w:tc>
        <w:tc>
          <w:tcPr>
            <w:tcW w:type="dxa" w:w="2438"/>
          </w:tcPr>
          <w:p>
            <w:pPr>
              <w:spacing w:after="40" w:before="40"/>
            </w:pPr>
            <w:r/>
            <w:r>
              <w:rPr>
                <w:sz w:val="15"/>
              </w:rPr>
              <w:t>FactSupportTickets.TicketID</w:t>
            </w:r>
          </w:p>
        </w:tc>
        <w:tc>
          <w:tcPr>
            <w:tcW w:type="dxa" w:w="2835"/>
          </w:tcPr>
          <w:p>
            <w:pPr>
              <w:spacing w:after="40" w:before="40"/>
            </w:pPr>
            <w:r/>
            <w:r>
              <w:rPr>
                <w:sz w:val="15"/>
              </w:rPr>
              <w:t>Degenerate dimension</w:t>
            </w:r>
          </w:p>
        </w:tc>
      </w:tr>
      <w:tr>
        <w:tc>
          <w:tcPr>
            <w:tcW w:type="dxa" w:w="1474"/>
            <w:shd w:val="clear" w:fill="F2F6FB"/>
          </w:tcPr>
          <w:p>
            <w:pPr>
              <w:spacing w:after="40" w:before="40"/>
            </w:pPr>
            <w:r/>
            <w:r>
              <w:rPr>
                <w:sz w:val="15"/>
              </w:rPr>
              <w:t>SupportTickets</w:t>
            </w:r>
          </w:p>
        </w:tc>
        <w:tc>
          <w:tcPr>
            <w:tcW w:type="dxa" w:w="1644"/>
            <w:shd w:val="clear" w:fill="F2F6FB"/>
          </w:tcPr>
          <w:p>
            <w:pPr>
              <w:spacing w:after="40" w:before="40"/>
            </w:pPr>
            <w:r/>
            <w:r>
              <w:rPr>
                <w:sz w:val="15"/>
              </w:rPr>
              <w:t>Date</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FactSupportTickets.DateKey</w:t>
            </w:r>
          </w:p>
        </w:tc>
        <w:tc>
          <w:tcPr>
            <w:tcW w:type="dxa" w:w="2835"/>
            <w:shd w:val="clear" w:fill="F2F6FB"/>
          </w:tcPr>
          <w:p>
            <w:pPr>
              <w:spacing w:after="40" w:before="40"/>
            </w:pPr>
            <w:r/>
            <w:r>
              <w:rPr>
                <w:sz w:val="15"/>
              </w:rPr>
              <w:t>Ticket created date</w:t>
            </w:r>
          </w:p>
        </w:tc>
      </w:tr>
      <w:tr>
        <w:tc>
          <w:tcPr>
            <w:tcW w:type="dxa" w:w="1474"/>
          </w:tcPr>
          <w:p>
            <w:pPr>
              <w:spacing w:after="40" w:before="40"/>
            </w:pPr>
            <w:r/>
            <w:r>
              <w:rPr>
                <w:sz w:val="15"/>
              </w:rPr>
              <w:t>SupportTickets</w:t>
            </w:r>
          </w:p>
        </w:tc>
        <w:tc>
          <w:tcPr>
            <w:tcW w:type="dxa" w:w="1644"/>
          </w:tcPr>
          <w:p>
            <w:pPr>
              <w:spacing w:after="40" w:before="40"/>
            </w:pPr>
            <w:r/>
            <w:r>
              <w:rPr>
                <w:sz w:val="15"/>
              </w:rPr>
              <w:t>MerchantID</w:t>
            </w:r>
          </w:p>
        </w:tc>
        <w:tc>
          <w:tcPr>
            <w:tcW w:type="dxa" w:w="1077"/>
          </w:tcPr>
          <w:p>
            <w:pPr>
              <w:spacing w:after="40" w:before="40"/>
            </w:pPr>
            <w:r/>
            <w:r>
              <w:rPr>
                <w:sz w:val="15"/>
              </w:rPr>
              <w:t>Inferred</w:t>
            </w:r>
          </w:p>
        </w:tc>
        <w:tc>
          <w:tcPr>
            <w:tcW w:type="dxa" w:w="2438"/>
          </w:tcPr>
          <w:p>
            <w:pPr>
              <w:spacing w:after="40" w:before="40"/>
            </w:pPr>
            <w:r/>
            <w:r>
              <w:rPr>
                <w:sz w:val="15"/>
              </w:rPr>
              <w:t>FactSupportTickets.MerchantKey</w:t>
            </w:r>
          </w:p>
        </w:tc>
        <w:tc>
          <w:tcPr>
            <w:tcW w:type="dxa" w:w="2835"/>
          </w:tcPr>
          <w:p>
            <w:pPr>
              <w:spacing w:after="40" w:before="40"/>
            </w:pPr>
            <w:r/>
            <w:r>
              <w:rPr>
                <w:sz w:val="15"/>
              </w:rPr>
            </w:r>
          </w:p>
        </w:tc>
      </w:tr>
      <w:tr>
        <w:tc>
          <w:tcPr>
            <w:tcW w:type="dxa" w:w="1474"/>
            <w:shd w:val="clear" w:fill="F2F6FB"/>
          </w:tcPr>
          <w:p>
            <w:pPr>
              <w:spacing w:after="40" w:before="40"/>
            </w:pPr>
            <w:r/>
            <w:r>
              <w:rPr>
                <w:sz w:val="15"/>
              </w:rPr>
              <w:t>SupportTickets</w:t>
            </w:r>
          </w:p>
        </w:tc>
        <w:tc>
          <w:tcPr>
            <w:tcW w:type="dxa" w:w="1644"/>
            <w:shd w:val="clear" w:fill="F2F6FB"/>
          </w:tcPr>
          <w:p>
            <w:pPr>
              <w:spacing w:after="40" w:before="40"/>
            </w:pPr>
            <w:r/>
            <w:r>
              <w:rPr>
                <w:sz w:val="15"/>
              </w:rPr>
              <w:t>Merchant</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DROPPED</w:t>
            </w:r>
          </w:p>
        </w:tc>
        <w:tc>
          <w:tcPr>
            <w:tcW w:type="dxa" w:w="2835"/>
            <w:shd w:val="clear" w:fill="F2F6FB"/>
          </w:tcPr>
          <w:p>
            <w:pPr>
              <w:spacing w:after="40" w:before="40"/>
            </w:pPr>
            <w:r/>
            <w:r>
              <w:rPr>
                <w:sz w:val="15"/>
              </w:rPr>
              <w:t>Redundant copy of the merchant name — resolved via DimMerchant</w:t>
            </w:r>
          </w:p>
        </w:tc>
      </w:tr>
      <w:tr>
        <w:tc>
          <w:tcPr>
            <w:tcW w:type="dxa" w:w="1474"/>
          </w:tcPr>
          <w:p>
            <w:pPr>
              <w:spacing w:after="40" w:before="40"/>
            </w:pPr>
            <w:r/>
            <w:r>
              <w:rPr>
                <w:sz w:val="15"/>
              </w:rPr>
              <w:t>SupportTickets</w:t>
            </w:r>
          </w:p>
        </w:tc>
        <w:tc>
          <w:tcPr>
            <w:tcW w:type="dxa" w:w="1644"/>
          </w:tcPr>
          <w:p>
            <w:pPr>
              <w:spacing w:after="40" w:before="40"/>
            </w:pPr>
            <w:r/>
            <w:r>
              <w:rPr>
                <w:sz w:val="15"/>
              </w:rPr>
              <w:t>Region</w:t>
            </w:r>
          </w:p>
        </w:tc>
        <w:tc>
          <w:tcPr>
            <w:tcW w:type="dxa" w:w="1077"/>
          </w:tcPr>
          <w:p>
            <w:pPr>
              <w:spacing w:after="40" w:before="40"/>
            </w:pPr>
            <w:r/>
            <w:r>
              <w:rPr>
                <w:sz w:val="15"/>
              </w:rPr>
              <w:t>Inferred</w:t>
            </w:r>
          </w:p>
        </w:tc>
        <w:tc>
          <w:tcPr>
            <w:tcW w:type="dxa" w:w="2438"/>
          </w:tcPr>
          <w:p>
            <w:pPr>
              <w:spacing w:after="40" w:before="40"/>
            </w:pPr>
            <w:r/>
            <w:r>
              <w:rPr>
                <w:sz w:val="15"/>
              </w:rPr>
              <w:t>DROPPED</w:t>
            </w:r>
          </w:p>
        </w:tc>
        <w:tc>
          <w:tcPr>
            <w:tcW w:type="dxa" w:w="2835"/>
          </w:tcPr>
          <w:p>
            <w:pPr>
              <w:spacing w:after="40" w:before="40"/>
            </w:pPr>
            <w:r/>
            <w:r>
              <w:rPr>
                <w:sz w:val="15"/>
              </w:rPr>
              <w:t>Redundant copy of region — resolved via DimMerchant so one hierarchy governs every fact</w:t>
            </w:r>
          </w:p>
        </w:tc>
      </w:tr>
      <w:tr>
        <w:tc>
          <w:tcPr>
            <w:tcW w:type="dxa" w:w="1474"/>
            <w:shd w:val="clear" w:fill="F2F6FB"/>
          </w:tcPr>
          <w:p>
            <w:pPr>
              <w:spacing w:after="40" w:before="40"/>
            </w:pPr>
            <w:r/>
            <w:r>
              <w:rPr>
                <w:sz w:val="15"/>
              </w:rPr>
              <w:t>SupportTickets</w:t>
            </w:r>
          </w:p>
        </w:tc>
        <w:tc>
          <w:tcPr>
            <w:tcW w:type="dxa" w:w="1644"/>
            <w:shd w:val="clear" w:fill="F2F6FB"/>
          </w:tcPr>
          <w:p>
            <w:pPr>
              <w:spacing w:after="40" w:before="40"/>
            </w:pPr>
            <w:r/>
            <w:r>
              <w:rPr>
                <w:sz w:val="15"/>
              </w:rPr>
              <w:t>TicketType</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FactSupportTickets.TicketTypeKey</w:t>
            </w:r>
          </w:p>
        </w:tc>
        <w:tc>
          <w:tcPr>
            <w:tcW w:type="dxa" w:w="2835"/>
            <w:shd w:val="clear" w:fill="F2F6FB"/>
          </w:tcPr>
          <w:p>
            <w:pPr>
              <w:spacing w:after="40" w:before="40"/>
            </w:pPr>
            <w:r/>
            <w:r>
              <w:rPr>
                <w:sz w:val="15"/>
              </w:rPr>
              <w:t>Resolved against DimTicketType</w:t>
            </w:r>
          </w:p>
        </w:tc>
      </w:tr>
      <w:tr>
        <w:tc>
          <w:tcPr>
            <w:tcW w:type="dxa" w:w="1474"/>
          </w:tcPr>
          <w:p>
            <w:pPr>
              <w:spacing w:after="40" w:before="40"/>
            </w:pPr>
            <w:r/>
            <w:r>
              <w:rPr>
                <w:sz w:val="15"/>
              </w:rPr>
              <w:t>SupportTickets</w:t>
            </w:r>
          </w:p>
        </w:tc>
        <w:tc>
          <w:tcPr>
            <w:tcW w:type="dxa" w:w="1644"/>
          </w:tcPr>
          <w:p>
            <w:pPr>
              <w:spacing w:after="40" w:before="40"/>
            </w:pPr>
            <w:r/>
            <w:r>
              <w:rPr>
                <w:sz w:val="15"/>
              </w:rPr>
              <w:t>Priority</w:t>
            </w:r>
          </w:p>
        </w:tc>
        <w:tc>
          <w:tcPr>
            <w:tcW w:type="dxa" w:w="1077"/>
          </w:tcPr>
          <w:p>
            <w:pPr>
              <w:spacing w:after="40" w:before="40"/>
            </w:pPr>
            <w:r/>
            <w:r>
              <w:rPr>
                <w:sz w:val="15"/>
              </w:rPr>
              <w:t>Inferred</w:t>
            </w:r>
          </w:p>
        </w:tc>
        <w:tc>
          <w:tcPr>
            <w:tcW w:type="dxa" w:w="2438"/>
          </w:tcPr>
          <w:p>
            <w:pPr>
              <w:spacing w:after="40" w:before="40"/>
            </w:pPr>
            <w:r/>
            <w:r>
              <w:rPr>
                <w:sz w:val="15"/>
              </w:rPr>
              <w:t>FactSupportTickets.PriorityKey</w:t>
            </w:r>
          </w:p>
        </w:tc>
        <w:tc>
          <w:tcPr>
            <w:tcW w:type="dxa" w:w="2835"/>
          </w:tcPr>
          <w:p>
            <w:pPr>
              <w:spacing w:after="40" w:before="40"/>
            </w:pPr>
            <w:r/>
            <w:r>
              <w:rPr>
                <w:sz w:val="15"/>
              </w:rPr>
              <w:t>Resolved against DimPriority</w:t>
            </w:r>
          </w:p>
        </w:tc>
      </w:tr>
      <w:tr>
        <w:tc>
          <w:tcPr>
            <w:tcW w:type="dxa" w:w="1474"/>
            <w:shd w:val="clear" w:fill="F2F6FB"/>
          </w:tcPr>
          <w:p>
            <w:pPr>
              <w:spacing w:after="40" w:before="40"/>
            </w:pPr>
            <w:r/>
            <w:r>
              <w:rPr>
                <w:sz w:val="15"/>
              </w:rPr>
              <w:t>SupportTickets</w:t>
            </w:r>
          </w:p>
        </w:tc>
        <w:tc>
          <w:tcPr>
            <w:tcW w:type="dxa" w:w="1644"/>
            <w:shd w:val="clear" w:fill="F2F6FB"/>
          </w:tcPr>
          <w:p>
            <w:pPr>
              <w:spacing w:after="40" w:before="40"/>
            </w:pPr>
            <w:r/>
            <w:r>
              <w:rPr>
                <w:sz w:val="15"/>
              </w:rPr>
              <w:t>ResolutionHours</w:t>
            </w:r>
          </w:p>
        </w:tc>
        <w:tc>
          <w:tcPr>
            <w:tcW w:type="dxa" w:w="1077"/>
            <w:shd w:val="clear" w:fill="F2F6FB"/>
          </w:tcPr>
          <w:p>
            <w:pPr>
              <w:spacing w:after="40" w:before="40"/>
            </w:pPr>
            <w:r/>
            <w:r>
              <w:rPr>
                <w:sz w:val="15"/>
              </w:rPr>
              <w:t>Yes</w:t>
            </w:r>
          </w:p>
        </w:tc>
        <w:tc>
          <w:tcPr>
            <w:tcW w:type="dxa" w:w="2438"/>
            <w:shd w:val="clear" w:fill="F2F6FB"/>
          </w:tcPr>
          <w:p>
            <w:pPr>
              <w:spacing w:after="40" w:before="40"/>
            </w:pPr>
            <w:r/>
            <w:r>
              <w:rPr>
                <w:sz w:val="15"/>
              </w:rPr>
              <w:t>FactSupportTickets.ResolutionHours</w:t>
            </w:r>
          </w:p>
        </w:tc>
        <w:tc>
          <w:tcPr>
            <w:tcW w:type="dxa" w:w="2835"/>
            <w:shd w:val="clear" w:fill="F2F6FB"/>
          </w:tcPr>
          <w:p>
            <w:pPr>
              <w:spacing w:after="40" w:before="40"/>
            </w:pPr>
            <w:r/>
            <w:r>
              <w:rPr>
                <w:sz w:val="15"/>
              </w:rPr>
            </w:r>
          </w:p>
        </w:tc>
      </w:tr>
      <w:tr>
        <w:tc>
          <w:tcPr>
            <w:tcW w:type="dxa" w:w="1474"/>
          </w:tcPr>
          <w:p>
            <w:pPr>
              <w:spacing w:after="40" w:before="40"/>
            </w:pPr>
            <w:r/>
            <w:r>
              <w:rPr>
                <w:sz w:val="15"/>
              </w:rPr>
              <w:t>SupportTickets</w:t>
            </w:r>
          </w:p>
        </w:tc>
        <w:tc>
          <w:tcPr>
            <w:tcW w:type="dxa" w:w="1644"/>
          </w:tcPr>
          <w:p>
            <w:pPr>
              <w:spacing w:after="40" w:before="40"/>
            </w:pPr>
            <w:r/>
            <w:r>
              <w:rPr>
                <w:sz w:val="15"/>
              </w:rPr>
              <w:t>SLAHours</w:t>
            </w:r>
          </w:p>
        </w:tc>
        <w:tc>
          <w:tcPr>
            <w:tcW w:type="dxa" w:w="1077"/>
          </w:tcPr>
          <w:p>
            <w:pPr>
              <w:spacing w:after="40" w:before="40"/>
            </w:pPr>
            <w:r/>
            <w:r>
              <w:rPr>
                <w:sz w:val="15"/>
              </w:rPr>
              <w:t>Yes</w:t>
            </w:r>
          </w:p>
        </w:tc>
        <w:tc>
          <w:tcPr>
            <w:tcW w:type="dxa" w:w="2438"/>
          </w:tcPr>
          <w:p>
            <w:pPr>
              <w:spacing w:after="40" w:before="40"/>
            </w:pPr>
            <w:r/>
            <w:r>
              <w:rPr>
                <w:sz w:val="15"/>
              </w:rPr>
              <w:t>FactSupportTickets.SLAHours</w:t>
            </w:r>
          </w:p>
        </w:tc>
        <w:tc>
          <w:tcPr>
            <w:tcW w:type="dxa" w:w="2835"/>
          </w:tcPr>
          <w:p>
            <w:pPr>
              <w:spacing w:after="40" w:before="40"/>
            </w:pPr>
            <w:r/>
            <w:r>
              <w:rPr>
                <w:sz w:val="15"/>
              </w:rPr>
              <w:t>Stored ON the fact, not resolved from DimPriority, so a future SLA policy change cannot retrospectively restate whether a historic ticket breached</w:t>
            </w:r>
          </w:p>
        </w:tc>
      </w:tr>
      <w:tr>
        <w:tc>
          <w:tcPr>
            <w:tcW w:type="dxa" w:w="1474"/>
            <w:shd w:val="clear" w:fill="F2F6FB"/>
          </w:tcPr>
          <w:p>
            <w:pPr>
              <w:spacing w:after="40" w:before="40"/>
            </w:pPr>
            <w:r/>
            <w:r>
              <w:rPr>
                <w:sz w:val="15"/>
              </w:rPr>
              <w:t>SupportTickets</w:t>
            </w:r>
          </w:p>
        </w:tc>
        <w:tc>
          <w:tcPr>
            <w:tcW w:type="dxa" w:w="1644"/>
            <w:shd w:val="clear" w:fill="F2F6FB"/>
          </w:tcPr>
          <w:p>
            <w:pPr>
              <w:spacing w:after="40" w:before="40"/>
            </w:pPr>
            <w:r/>
            <w:r>
              <w:rPr>
                <w:sz w:val="15"/>
              </w:rPr>
              <w:t>Status</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FactSupportTickets.Status</w:t>
            </w:r>
          </w:p>
        </w:tc>
        <w:tc>
          <w:tcPr>
            <w:tcW w:type="dxa" w:w="2835"/>
            <w:shd w:val="clear" w:fill="F2F6FB"/>
          </w:tcPr>
          <w:p>
            <w:pPr>
              <w:spacing w:after="40" w:before="40"/>
            </w:pPr>
            <w:r/>
            <w:r>
              <w:rPr>
                <w:sz w:val="15"/>
              </w:rPr>
              <w:t>Derives IsOpen. Open tickets have elapsed-hours in ResolutionHours rather than a final duration, so they are excluded from average resolution time</w:t>
            </w:r>
          </w:p>
        </w:tc>
      </w:tr>
    </w:tbl>
    <w:p>
      <w:pPr>
        <w:spacing w:after="80"/>
      </w:pPr>
    </w:p>
    <w:p>
      <w:pPr>
        <w:spacing w:after="140" w:before="0"/>
      </w:pPr>
      <w:r>
        <w:rPr>
          <w:b w:val="0"/>
          <w:i w:val="0"/>
          <w:sz w:val="21"/>
        </w:rPr>
      </w:r>
    </w:p>
    <w:p>
      <w:pPr>
        <w:pStyle w:val="Heading2"/>
      </w:pPr>
      <w:r>
        <w:t>Why fourteen tables when the README suggests five</w:t>
      </w:r>
    </w:p>
    <w:p>
      <w:pPr>
        <w:spacing w:after="140" w:before="0"/>
      </w:pPr>
      <w:r>
        <w:rPr>
          <w:b w:val="0"/>
          <w:i w:val="0"/>
          <w:sz w:val="21"/>
        </w:rPr>
        <w:t>The supplied README suggests a 5-table model. This solution has 14. Five come straight from the README; four exist because the brief's own report requirements (voucher type performance, ticket priority, SLA risk, backlog) need somewhere to put those attributes; one is a grain necessity; and four are extensions I added on judgement and have labelled as such. Presenting all 14 as though the brief demanded them would be overselling it — the honest split is a 10-table core plus 4 extensions.</w:t>
      </w:r>
    </w:p>
    <w:tbl>
      <w:tblPr>
        <w:tblStyle w:val="TableGrid"/>
        <w:tblW w:type="auto" w:w="0"/>
        <w:jc w:val="center"/>
        <w:tblLook w:firstColumn="1" w:firstRow="1" w:lastColumn="0" w:lastRow="0" w:noHBand="0" w:noVBand="1" w:val="04A0"/>
      </w:tblPr>
      <w:tblGrid>
        <w:gridCol w:w="3286"/>
        <w:gridCol w:w="3286"/>
        <w:gridCol w:w="3286"/>
      </w:tblGrid>
      <w:tr>
        <w:tc>
          <w:tcPr>
            <w:tcW w:type="dxa" w:w="1928"/>
            <w:shd w:val="clear" w:fill="12305B"/>
          </w:tcPr>
          <w:p>
            <w:pPr>
              <w:spacing w:after="40" w:before="40"/>
            </w:pPr>
            <w:r/>
            <w:r>
              <w:rPr>
                <w:b/>
                <w:color w:val="FFFFFF"/>
                <w:sz w:val="18"/>
              </w:rPr>
              <w:t>Tier</w:t>
            </w:r>
          </w:p>
        </w:tc>
        <w:tc>
          <w:tcPr>
            <w:tcW w:type="dxa" w:w="794"/>
            <w:shd w:val="clear" w:fill="12305B"/>
          </w:tcPr>
          <w:p>
            <w:pPr>
              <w:spacing w:after="40" w:before="40"/>
              <w:jc w:val="right"/>
            </w:pPr>
            <w:r/>
            <w:r>
              <w:rPr>
                <w:b/>
                <w:color w:val="FFFFFF"/>
                <w:sz w:val="18"/>
              </w:rPr>
              <w:t>Count</w:t>
            </w:r>
          </w:p>
        </w:tc>
        <w:tc>
          <w:tcPr>
            <w:tcW w:type="dxa" w:w="6690"/>
            <w:shd w:val="clear" w:fill="12305B"/>
          </w:tcPr>
          <w:p>
            <w:pPr>
              <w:spacing w:after="40" w:before="40"/>
            </w:pPr>
            <w:r/>
            <w:r>
              <w:rPr>
                <w:b/>
                <w:color w:val="FFFFFF"/>
                <w:sz w:val="18"/>
              </w:rPr>
              <w:t>Tables</w:t>
            </w:r>
          </w:p>
        </w:tc>
      </w:tr>
      <w:tr>
        <w:tc>
          <w:tcPr>
            <w:tcW w:type="dxa" w:w="1928"/>
          </w:tcPr>
          <w:p>
            <w:pPr>
              <w:spacing w:after="40" w:before="40"/>
            </w:pPr>
            <w:r/>
            <w:r>
              <w:rPr>
                <w:sz w:val="18"/>
              </w:rPr>
              <w:t>Supplied CSV</w:t>
            </w:r>
          </w:p>
        </w:tc>
        <w:tc>
          <w:tcPr>
            <w:tcW w:type="dxa" w:w="794"/>
          </w:tcPr>
          <w:p>
            <w:pPr>
              <w:spacing w:after="40" w:before="40"/>
              <w:jc w:val="right"/>
            </w:pPr>
            <w:r/>
            <w:r>
              <w:rPr>
                <w:sz w:val="18"/>
              </w:rPr>
              <w:t>4</w:t>
            </w:r>
          </w:p>
        </w:tc>
        <w:tc>
          <w:tcPr>
            <w:tcW w:type="dxa" w:w="6690"/>
          </w:tcPr>
          <w:p>
            <w:pPr>
              <w:spacing w:after="40" w:before="40"/>
            </w:pPr>
            <w:r/>
            <w:r>
              <w:rPr>
                <w:sz w:val="18"/>
              </w:rPr>
              <w:t>dim_merchant, fct_merchant_sales, fct_support_tickets, fct_voucher_redemptions</w:t>
            </w:r>
          </w:p>
        </w:tc>
      </w:tr>
      <w:tr>
        <w:tc>
          <w:tcPr>
            <w:tcW w:type="dxa" w:w="1928"/>
            <w:shd w:val="clear" w:fill="F2F6FB"/>
          </w:tcPr>
          <w:p>
            <w:pPr>
              <w:spacing w:after="40" w:before="40"/>
            </w:pPr>
            <w:r/>
            <w:r>
              <w:rPr>
                <w:sz w:val="18"/>
              </w:rPr>
              <w:t>README-required</w:t>
            </w:r>
          </w:p>
        </w:tc>
        <w:tc>
          <w:tcPr>
            <w:tcW w:type="dxa" w:w="794"/>
            <w:shd w:val="clear" w:fill="F2F6FB"/>
          </w:tcPr>
          <w:p>
            <w:pPr>
              <w:spacing w:after="40" w:before="40"/>
              <w:jc w:val="right"/>
            </w:pPr>
            <w:r/>
            <w:r>
              <w:rPr>
                <w:sz w:val="18"/>
              </w:rPr>
              <w:t>1</w:t>
            </w:r>
          </w:p>
        </w:tc>
        <w:tc>
          <w:tcPr>
            <w:tcW w:type="dxa" w:w="6690"/>
            <w:shd w:val="clear" w:fill="F2F6FB"/>
          </w:tcPr>
          <w:p>
            <w:pPr>
              <w:spacing w:after="40" w:before="40"/>
            </w:pPr>
            <w:r/>
            <w:r>
              <w:rPr>
                <w:sz w:val="18"/>
              </w:rPr>
              <w:t>dim_date</w:t>
            </w:r>
          </w:p>
        </w:tc>
      </w:tr>
      <w:tr>
        <w:tc>
          <w:tcPr>
            <w:tcW w:type="dxa" w:w="1928"/>
          </w:tcPr>
          <w:p>
            <w:pPr>
              <w:spacing w:after="40" w:before="40"/>
            </w:pPr>
            <w:r/>
            <w:r>
              <w:rPr>
                <w:sz w:val="18"/>
              </w:rPr>
              <w:t>Brief deliverable</w:t>
            </w:r>
          </w:p>
        </w:tc>
        <w:tc>
          <w:tcPr>
            <w:tcW w:type="dxa" w:w="794"/>
          </w:tcPr>
          <w:p>
            <w:pPr>
              <w:spacing w:after="40" w:before="40"/>
              <w:jc w:val="right"/>
            </w:pPr>
            <w:r/>
            <w:r>
              <w:rPr>
                <w:sz w:val="18"/>
              </w:rPr>
              <w:t>4</w:t>
            </w:r>
          </w:p>
        </w:tc>
        <w:tc>
          <w:tcPr>
            <w:tcW w:type="dxa" w:w="6690"/>
          </w:tcPr>
          <w:p>
            <w:pPr>
              <w:spacing w:after="40" w:before="40"/>
            </w:pPr>
            <w:r/>
            <w:r>
              <w:rPr>
                <w:sz w:val="18"/>
              </w:rPr>
              <w:t>dim_priority, dim_ticket_status, dim_ticket_type, dim_voucher_type</w:t>
            </w:r>
          </w:p>
        </w:tc>
      </w:tr>
      <w:tr>
        <w:tc>
          <w:tcPr>
            <w:tcW w:type="dxa" w:w="1928"/>
            <w:shd w:val="clear" w:fill="F2F6FB"/>
          </w:tcPr>
          <w:p>
            <w:pPr>
              <w:spacing w:after="40" w:before="40"/>
            </w:pPr>
            <w:r/>
            <w:r>
              <w:rPr>
                <w:sz w:val="18"/>
              </w:rPr>
              <w:t>Grain necessity</w:t>
            </w:r>
          </w:p>
        </w:tc>
        <w:tc>
          <w:tcPr>
            <w:tcW w:type="dxa" w:w="794"/>
            <w:shd w:val="clear" w:fill="F2F6FB"/>
          </w:tcPr>
          <w:p>
            <w:pPr>
              <w:spacing w:after="40" w:before="40"/>
              <w:jc w:val="right"/>
            </w:pPr>
            <w:r/>
            <w:r>
              <w:rPr>
                <w:sz w:val="18"/>
              </w:rPr>
              <w:t>1</w:t>
            </w:r>
          </w:p>
        </w:tc>
        <w:tc>
          <w:tcPr>
            <w:tcW w:type="dxa" w:w="6690"/>
            <w:shd w:val="clear" w:fill="F2F6FB"/>
          </w:tcPr>
          <w:p>
            <w:pPr>
              <w:spacing w:after="40" w:before="40"/>
            </w:pPr>
            <w:r/>
            <w:r>
              <w:rPr>
                <w:sz w:val="18"/>
              </w:rPr>
              <w:t>fct_merchant_target</w:t>
            </w:r>
          </w:p>
        </w:tc>
      </w:tr>
      <w:tr>
        <w:tc>
          <w:tcPr>
            <w:tcW w:type="dxa" w:w="1928"/>
          </w:tcPr>
          <w:p>
            <w:pPr>
              <w:spacing w:after="40" w:before="40"/>
            </w:pPr>
            <w:r/>
            <w:r>
              <w:rPr>
                <w:sz w:val="18"/>
              </w:rPr>
              <w:t>My extension</w:t>
            </w:r>
          </w:p>
        </w:tc>
        <w:tc>
          <w:tcPr>
            <w:tcW w:type="dxa" w:w="794"/>
          </w:tcPr>
          <w:p>
            <w:pPr>
              <w:spacing w:after="40" w:before="40"/>
              <w:jc w:val="right"/>
            </w:pPr>
            <w:r/>
            <w:r>
              <w:rPr>
                <w:sz w:val="18"/>
              </w:rPr>
              <w:t>4</w:t>
            </w:r>
          </w:p>
        </w:tc>
        <w:tc>
          <w:tcPr>
            <w:tcW w:type="dxa" w:w="6690"/>
          </w:tcPr>
          <w:p>
            <w:pPr>
              <w:spacing w:after="40" w:before="40"/>
            </w:pPr>
            <w:r/>
            <w:r>
              <w:rPr>
                <w:sz w:val="18"/>
              </w:rPr>
              <w:t>dim_merchant_history, mart_merchant_change_alerts, mart_merchant_scorecard, snap_merchant</w:t>
            </w:r>
          </w:p>
        </w:tc>
      </w:tr>
    </w:tbl>
    <w:p>
      <w:pPr>
        <w:spacing w:after="80"/>
      </w:pPr>
    </w:p>
    <w:p>
      <w:pPr>
        <w:spacing w:after="140" w:before="0"/>
      </w:pPr>
      <w:r>
        <w:rPr>
          <w:b w:val="0"/>
          <w:i/>
          <w:color w:val="5A6672"/>
          <w:sz w:val="19"/>
        </w:rPr>
        <w:t>Every table is justified individually below. The tier is carried through the dbt model descriptions, the ERD and the Excel data dictionary, so the same answer appears wherever the question is asked.</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268"/>
            <w:shd w:val="clear" w:fill="12305B"/>
          </w:tcPr>
          <w:p>
            <w:pPr>
              <w:spacing w:after="40" w:before="40"/>
            </w:pPr>
            <w:r/>
            <w:r>
              <w:rPr>
                <w:b/>
                <w:color w:val="FFFFFF"/>
                <w:sz w:val="16"/>
              </w:rPr>
              <w:t>Table</w:t>
            </w:r>
          </w:p>
        </w:tc>
        <w:tc>
          <w:tcPr>
            <w:tcW w:type="dxa" w:w="1474"/>
            <w:shd w:val="clear" w:fill="12305B"/>
          </w:tcPr>
          <w:p>
            <w:pPr>
              <w:spacing w:after="40" w:before="40"/>
            </w:pPr>
            <w:r/>
            <w:r>
              <w:rPr>
                <w:b/>
                <w:color w:val="FFFFFF"/>
                <w:sz w:val="16"/>
              </w:rPr>
              <w:t>Tier</w:t>
            </w:r>
          </w:p>
        </w:tc>
        <w:tc>
          <w:tcPr>
            <w:tcW w:type="dxa" w:w="794"/>
            <w:shd w:val="clear" w:fill="12305B"/>
          </w:tcPr>
          <w:p>
            <w:pPr>
              <w:spacing w:after="40" w:before="40"/>
              <w:jc w:val="right"/>
            </w:pPr>
            <w:r/>
            <w:r>
              <w:rPr>
                <w:b/>
                <w:color w:val="FFFFFF"/>
                <w:sz w:val="16"/>
              </w:rPr>
              <w:t>Rows</w:t>
            </w:r>
          </w:p>
        </w:tc>
        <w:tc>
          <w:tcPr>
            <w:tcW w:type="dxa" w:w="4876"/>
            <w:shd w:val="clear" w:fill="12305B"/>
          </w:tcPr>
          <w:p>
            <w:pPr>
              <w:spacing w:after="40" w:before="40"/>
            </w:pPr>
            <w:r/>
            <w:r>
              <w:rPr>
                <w:b/>
                <w:color w:val="FFFFFF"/>
                <w:sz w:val="16"/>
              </w:rPr>
              <w:t>Why it exists</w:t>
            </w:r>
          </w:p>
        </w:tc>
      </w:tr>
      <w:tr>
        <w:tc>
          <w:tcPr>
            <w:tcW w:type="dxa" w:w="2268"/>
          </w:tcPr>
          <w:p>
            <w:pPr>
              <w:spacing w:after="40" w:before="40"/>
            </w:pPr>
            <w:r/>
            <w:r>
              <w:rPr>
                <w:sz w:val="16"/>
              </w:rPr>
              <w:t>dim_merchant</w:t>
            </w:r>
          </w:p>
        </w:tc>
        <w:tc>
          <w:tcPr>
            <w:tcW w:type="dxa" w:w="1474"/>
          </w:tcPr>
          <w:p>
            <w:pPr>
              <w:spacing w:after="40" w:before="40"/>
            </w:pPr>
            <w:r/>
            <w:r>
              <w:rPr>
                <w:sz w:val="16"/>
              </w:rPr>
              <w:t>Supplied CSV</w:t>
            </w:r>
          </w:p>
        </w:tc>
        <w:tc>
          <w:tcPr>
            <w:tcW w:type="dxa" w:w="794"/>
          </w:tcPr>
          <w:p>
            <w:pPr>
              <w:spacing w:after="40" w:before="40"/>
              <w:jc w:val="right"/>
            </w:pPr>
            <w:r/>
            <w:r>
              <w:rPr>
                <w:sz w:val="16"/>
              </w:rPr>
              <w:t>26</w:t>
            </w:r>
          </w:p>
        </w:tc>
        <w:tc>
          <w:tcPr>
            <w:tcW w:type="dxa" w:w="4876"/>
          </w:tcPr>
          <w:p>
            <w:pPr>
              <w:spacing w:after="40" w:before="40"/>
            </w:pPr>
            <w:r/>
            <w:r>
              <w:rPr>
                <w:sz w:val="16"/>
              </w:rPr>
              <w:t>README: DimMerchant from MerchantReference.csv. Conformed dimension — the single filter path for every fact. Carries an Unknown (-1) member so a future unmatched fact row lands somewhere visible instead of vanishing from every total.</w:t>
            </w:r>
          </w:p>
        </w:tc>
      </w:tr>
      <w:tr>
        <w:tc>
          <w:tcPr>
            <w:tcW w:type="dxa" w:w="2268"/>
            <w:shd w:val="clear" w:fill="F2F6FB"/>
          </w:tcPr>
          <w:p>
            <w:pPr>
              <w:spacing w:after="40" w:before="40"/>
            </w:pPr>
            <w:r/>
            <w:r>
              <w:rPr>
                <w:sz w:val="16"/>
              </w:rPr>
              <w:t>fct_merchant_sales</w:t>
            </w:r>
          </w:p>
        </w:tc>
        <w:tc>
          <w:tcPr>
            <w:tcW w:type="dxa" w:w="1474"/>
            <w:shd w:val="clear" w:fill="F2F6FB"/>
          </w:tcPr>
          <w:p>
            <w:pPr>
              <w:spacing w:after="40" w:before="40"/>
            </w:pPr>
            <w:r/>
            <w:r>
              <w:rPr>
                <w:sz w:val="16"/>
              </w:rPr>
              <w:t>Supplied CSV</w:t>
            </w:r>
          </w:p>
        </w:tc>
        <w:tc>
          <w:tcPr>
            <w:tcW w:type="dxa" w:w="794"/>
            <w:shd w:val="clear" w:fill="F2F6FB"/>
          </w:tcPr>
          <w:p>
            <w:pPr>
              <w:spacing w:after="40" w:before="40"/>
              <w:jc w:val="right"/>
            </w:pPr>
            <w:r/>
            <w:r>
              <w:rPr>
                <w:sz w:val="16"/>
              </w:rPr>
              <w:t>26,500</w:t>
            </w:r>
          </w:p>
        </w:tc>
        <w:tc>
          <w:tcPr>
            <w:tcW w:type="dxa" w:w="4876"/>
            <w:shd w:val="clear" w:fill="F2F6FB"/>
          </w:tcPr>
          <w:p>
            <w:pPr>
              <w:spacing w:after="40" w:before="40"/>
            </w:pPr>
            <w:r/>
            <w:r>
              <w:rPr>
                <w:sz w:val="16"/>
              </w:rPr>
              <w:t>README: FactMerchantSales from MerchantSales.csv. Grain Date x Merchant x VoucherType. Merchant/Region/Channel were DROPPED from the fact — profiling proved 100% agreement with MerchantReference, so keeping both would allow two competing versions of 'Region' in one model.</w:t>
            </w:r>
          </w:p>
        </w:tc>
      </w:tr>
      <w:tr>
        <w:tc>
          <w:tcPr>
            <w:tcW w:type="dxa" w:w="2268"/>
          </w:tcPr>
          <w:p>
            <w:pPr>
              <w:spacing w:after="40" w:before="40"/>
            </w:pPr>
            <w:r/>
            <w:r>
              <w:rPr>
                <w:sz w:val="16"/>
              </w:rPr>
              <w:t>fct_support_tickets</w:t>
            </w:r>
          </w:p>
        </w:tc>
        <w:tc>
          <w:tcPr>
            <w:tcW w:type="dxa" w:w="1474"/>
          </w:tcPr>
          <w:p>
            <w:pPr>
              <w:spacing w:after="40" w:before="40"/>
            </w:pPr>
            <w:r/>
            <w:r>
              <w:rPr>
                <w:sz w:val="16"/>
              </w:rPr>
              <w:t>Supplied CSV</w:t>
            </w:r>
          </w:p>
        </w:tc>
        <w:tc>
          <w:tcPr>
            <w:tcW w:type="dxa" w:w="794"/>
          </w:tcPr>
          <w:p>
            <w:pPr>
              <w:spacing w:after="40" w:before="40"/>
              <w:jc w:val="right"/>
            </w:pPr>
            <w:r/>
            <w:r>
              <w:rPr>
                <w:sz w:val="16"/>
              </w:rPr>
              <w:t>1,363</w:t>
            </w:r>
          </w:p>
        </w:tc>
        <w:tc>
          <w:tcPr>
            <w:tcW w:type="dxa" w:w="4876"/>
          </w:tcPr>
          <w:p>
            <w:pPr>
              <w:spacing w:after="40" w:before="40"/>
            </w:pPr>
            <w:r/>
            <w:r>
              <w:rPr>
                <w:sz w:val="16"/>
              </w:rPr>
              <w:t>README: FactSupportTickets from SupportTickets.csv. One row per ticket. sla_hours is stored ON the fact, not resolved from the priority dimension, so a future SLA policy change cannot retrospectively restate whether a historic ticket breached.</w:t>
            </w:r>
          </w:p>
        </w:tc>
      </w:tr>
      <w:tr>
        <w:tc>
          <w:tcPr>
            <w:tcW w:type="dxa" w:w="2268"/>
            <w:shd w:val="clear" w:fill="F2F6FB"/>
          </w:tcPr>
          <w:p>
            <w:pPr>
              <w:spacing w:after="40" w:before="40"/>
            </w:pPr>
            <w:r/>
            <w:r>
              <w:rPr>
                <w:sz w:val="16"/>
              </w:rPr>
              <w:t>fct_voucher_redemptions</w:t>
            </w:r>
          </w:p>
        </w:tc>
        <w:tc>
          <w:tcPr>
            <w:tcW w:type="dxa" w:w="1474"/>
            <w:shd w:val="clear" w:fill="F2F6FB"/>
          </w:tcPr>
          <w:p>
            <w:pPr>
              <w:spacing w:after="40" w:before="40"/>
            </w:pPr>
            <w:r/>
            <w:r>
              <w:rPr>
                <w:sz w:val="16"/>
              </w:rPr>
              <w:t>Supplied CSV</w:t>
            </w:r>
          </w:p>
        </w:tc>
        <w:tc>
          <w:tcPr>
            <w:tcW w:type="dxa" w:w="794"/>
            <w:shd w:val="clear" w:fill="F2F6FB"/>
          </w:tcPr>
          <w:p>
            <w:pPr>
              <w:spacing w:after="40" w:before="40"/>
              <w:jc w:val="right"/>
            </w:pPr>
            <w:r/>
            <w:r>
              <w:rPr>
                <w:sz w:val="16"/>
              </w:rPr>
              <w:t>120,969</w:t>
            </w:r>
          </w:p>
        </w:tc>
        <w:tc>
          <w:tcPr>
            <w:tcW w:type="dxa" w:w="4876"/>
            <w:shd w:val="clear" w:fill="F2F6FB"/>
          </w:tcPr>
          <w:p>
            <w:pPr>
              <w:spacing w:after="40" w:before="40"/>
            </w:pPr>
            <w:r/>
            <w:r>
              <w:rPr>
                <w:sz w:val="16"/>
              </w:rPr>
              <w:t>README: FactVoucherRedemptions from VoucherRedemptions.csv. Accumulating snapshot — one row per voucher, updated when the second event (redemption) occurs. Carries TWO date foreign keys: sold_date_key active, redeemed_date_key inactive. Without that split, late redemptions are attributed back to the month of sale and a backlog is invisible.</w:t>
            </w:r>
          </w:p>
        </w:tc>
      </w:tr>
      <w:tr>
        <w:tc>
          <w:tcPr>
            <w:tcW w:type="dxa" w:w="2268"/>
          </w:tcPr>
          <w:p>
            <w:pPr>
              <w:spacing w:after="40" w:before="40"/>
            </w:pPr>
            <w:r/>
            <w:r>
              <w:rPr>
                <w:sz w:val="16"/>
              </w:rPr>
              <w:t>dim_date</w:t>
            </w:r>
          </w:p>
        </w:tc>
        <w:tc>
          <w:tcPr>
            <w:tcW w:type="dxa" w:w="1474"/>
          </w:tcPr>
          <w:p>
            <w:pPr>
              <w:spacing w:after="40" w:before="40"/>
            </w:pPr>
            <w:r/>
            <w:r>
              <w:rPr>
                <w:sz w:val="16"/>
              </w:rPr>
              <w:t>README-required</w:t>
            </w:r>
          </w:p>
        </w:tc>
        <w:tc>
          <w:tcPr>
            <w:tcW w:type="dxa" w:w="794"/>
          </w:tcPr>
          <w:p>
            <w:pPr>
              <w:spacing w:after="40" w:before="40"/>
              <w:jc w:val="right"/>
            </w:pPr>
            <w:r/>
            <w:r>
              <w:rPr>
                <w:sz w:val="16"/>
              </w:rPr>
              <w:t>365</w:t>
            </w:r>
          </w:p>
        </w:tc>
        <w:tc>
          <w:tcPr>
            <w:tcW w:type="dxa" w:w="4876"/>
          </w:tcPr>
          <w:p>
            <w:pPr>
              <w:spacing w:after="40" w:before="40"/>
            </w:pPr>
            <w:r/>
            <w:r>
              <w:rPr>
                <w:sz w:val="16"/>
              </w:rPr>
              <w:t>README: 'DimDate: candidate should create a proper date table'. This is the one table in the suggested model with NO source CSV — it is built, not loaded. Generated to full calendar-year boundaries rather than derived from the facts. Power BI time intelligence (DATEADD, SAMEPERIODLASTYEAR, TOTALYTD) does not error on a gapped calendar — it silently returns a wrong number. Contiguity is therefore tested, not assumed.</w:t>
            </w:r>
          </w:p>
        </w:tc>
      </w:tr>
      <w:tr>
        <w:tc>
          <w:tcPr>
            <w:tcW w:type="dxa" w:w="2268"/>
            <w:shd w:val="clear" w:fill="F2F6FB"/>
          </w:tcPr>
          <w:p>
            <w:pPr>
              <w:spacing w:after="40" w:before="40"/>
            </w:pPr>
            <w:r/>
            <w:r>
              <w:rPr>
                <w:sz w:val="16"/>
              </w:rPr>
              <w:t>dim_priority</w:t>
            </w:r>
          </w:p>
        </w:tc>
        <w:tc>
          <w:tcPr>
            <w:tcW w:type="dxa" w:w="1474"/>
            <w:shd w:val="clear" w:fill="F2F6FB"/>
          </w:tcPr>
          <w:p>
            <w:pPr>
              <w:spacing w:after="40" w:before="40"/>
            </w:pPr>
            <w:r/>
            <w:r>
              <w:rPr>
                <w:sz w:val="16"/>
              </w:rPr>
              <w:t>Brief deliverable</w:t>
            </w:r>
          </w:p>
        </w:tc>
        <w:tc>
          <w:tcPr>
            <w:tcW w:type="dxa" w:w="794"/>
            <w:shd w:val="clear" w:fill="F2F6FB"/>
          </w:tcPr>
          <w:p>
            <w:pPr>
              <w:spacing w:after="40" w:before="40"/>
              <w:jc w:val="right"/>
            </w:pPr>
            <w:r/>
            <w:r>
              <w:rPr>
                <w:sz w:val="16"/>
              </w:rPr>
              <w:t>4</w:t>
            </w:r>
          </w:p>
        </w:tc>
        <w:tc>
          <w:tcPr>
            <w:tcW w:type="dxa" w:w="4876"/>
            <w:shd w:val="clear" w:fill="F2F6FB"/>
          </w:tcPr>
          <w:p>
            <w:pPr>
              <w:spacing w:after="40" w:before="40"/>
            </w:pPr>
            <w:r/>
            <w:r>
              <w:rPr>
                <w:sz w:val="16"/>
              </w:rPr>
              <w:t>Brief section 5 requires 'ticket priority' and 'SLA risk'; section 4 requires an SLA breach indicator. Carries target_sla_hours plus observed median/P90 resolution time, and derives sla_is_achievable from them. This is what turns the headline operational finding into DATA rather than prose: Critical has a 12h target against a 74h P90, and the model says so in a sortable column.</w:t>
            </w:r>
          </w:p>
        </w:tc>
      </w:tr>
      <w:tr>
        <w:tc>
          <w:tcPr>
            <w:tcW w:type="dxa" w:w="2268"/>
          </w:tcPr>
          <w:p>
            <w:pPr>
              <w:spacing w:after="40" w:before="40"/>
            </w:pPr>
            <w:r/>
            <w:r>
              <w:rPr>
                <w:sz w:val="16"/>
              </w:rPr>
              <w:t>dim_ticket_status</w:t>
            </w:r>
          </w:p>
        </w:tc>
        <w:tc>
          <w:tcPr>
            <w:tcW w:type="dxa" w:w="1474"/>
          </w:tcPr>
          <w:p>
            <w:pPr>
              <w:spacing w:after="40" w:before="40"/>
            </w:pPr>
            <w:r/>
            <w:r>
              <w:rPr>
                <w:sz w:val="16"/>
              </w:rPr>
              <w:t>Brief deliverable</w:t>
            </w:r>
          </w:p>
        </w:tc>
        <w:tc>
          <w:tcPr>
            <w:tcW w:type="dxa" w:w="794"/>
          </w:tcPr>
          <w:p>
            <w:pPr>
              <w:spacing w:after="40" w:before="40"/>
              <w:jc w:val="right"/>
            </w:pPr>
            <w:r/>
            <w:r>
              <w:rPr>
                <w:sz w:val="16"/>
              </w:rPr>
              <w:t>4</w:t>
            </w:r>
          </w:p>
        </w:tc>
        <w:tc>
          <w:tcPr>
            <w:tcW w:type="dxa" w:w="4876"/>
          </w:tcPr>
          <w:p>
            <w:pPr>
              <w:spacing w:after="40" w:before="40"/>
            </w:pPr>
            <w:r/>
            <w:r>
              <w:rPr>
                <w:sz w:val="16"/>
              </w:rPr>
              <w:t>Brief section 5 requires ticket status and backlog visibility. Carries an explicit `ownership` attribute that splits the backlog into 'awaiting us' (146 tickets) and 'awaiting customer' (93). A single '239 open' figure conflates a capacity problem with a chase-the-customer problem — different remediation entirely.</w:t>
            </w:r>
          </w:p>
        </w:tc>
      </w:tr>
      <w:tr>
        <w:tc>
          <w:tcPr>
            <w:tcW w:type="dxa" w:w="2268"/>
            <w:shd w:val="clear" w:fill="F2F6FB"/>
          </w:tcPr>
          <w:p>
            <w:pPr>
              <w:spacing w:after="40" w:before="40"/>
            </w:pPr>
            <w:r/>
            <w:r>
              <w:rPr>
                <w:sz w:val="16"/>
              </w:rPr>
              <w:t>dim_ticket_type</w:t>
            </w:r>
          </w:p>
        </w:tc>
        <w:tc>
          <w:tcPr>
            <w:tcW w:type="dxa" w:w="1474"/>
            <w:shd w:val="clear" w:fill="F2F6FB"/>
          </w:tcPr>
          <w:p>
            <w:pPr>
              <w:spacing w:after="40" w:before="40"/>
            </w:pPr>
            <w:r/>
            <w:r>
              <w:rPr>
                <w:sz w:val="16"/>
              </w:rPr>
              <w:t>Brief deliverable</w:t>
            </w:r>
          </w:p>
        </w:tc>
        <w:tc>
          <w:tcPr>
            <w:tcW w:type="dxa" w:w="794"/>
            <w:shd w:val="clear" w:fill="F2F6FB"/>
          </w:tcPr>
          <w:p>
            <w:pPr>
              <w:spacing w:after="40" w:before="40"/>
              <w:jc w:val="right"/>
            </w:pPr>
            <w:r/>
            <w:r>
              <w:rPr>
                <w:sz w:val="16"/>
              </w:rPr>
              <w:t>6</w:t>
            </w:r>
          </w:p>
        </w:tc>
        <w:tc>
          <w:tcPr>
            <w:tcW w:type="dxa" w:w="4876"/>
            <w:shd w:val="clear" w:fill="F2F6FB"/>
          </w:tcPr>
          <w:p>
            <w:pPr>
              <w:spacing w:after="40" w:before="40"/>
            </w:pPr>
            <w:r/>
            <w:r>
              <w:rPr>
                <w:sz w:val="16"/>
              </w:rPr>
              <w:t>Brief section 5 requires ticket analysis on the Operational page. Adds category (Fulfilment / Financial / Commercial) and impact area (Customer vs Merchant impacting) — groupings that do not exist in the source but are how operations actually triage.</w:t>
            </w:r>
          </w:p>
        </w:tc>
      </w:tr>
      <w:tr>
        <w:tc>
          <w:tcPr>
            <w:tcW w:type="dxa" w:w="2268"/>
          </w:tcPr>
          <w:p>
            <w:pPr>
              <w:spacing w:after="40" w:before="40"/>
            </w:pPr>
            <w:r/>
            <w:r>
              <w:rPr>
                <w:sz w:val="16"/>
              </w:rPr>
              <w:t>dim_voucher_type</w:t>
            </w:r>
          </w:p>
        </w:tc>
        <w:tc>
          <w:tcPr>
            <w:tcW w:type="dxa" w:w="1474"/>
          </w:tcPr>
          <w:p>
            <w:pPr>
              <w:spacing w:after="40" w:before="40"/>
            </w:pPr>
            <w:r/>
            <w:r>
              <w:rPr>
                <w:sz w:val="16"/>
              </w:rPr>
              <w:t>Brief deliverable</w:t>
            </w:r>
          </w:p>
        </w:tc>
        <w:tc>
          <w:tcPr>
            <w:tcW w:type="dxa" w:w="794"/>
          </w:tcPr>
          <w:p>
            <w:pPr>
              <w:spacing w:after="40" w:before="40"/>
              <w:jc w:val="right"/>
            </w:pPr>
            <w:r/>
            <w:r>
              <w:rPr>
                <w:sz w:val="16"/>
              </w:rPr>
              <w:t>5</w:t>
            </w:r>
          </w:p>
        </w:tc>
        <w:tc>
          <w:tcPr>
            <w:tcW w:type="dxa" w:w="4876"/>
          </w:tcPr>
          <w:p>
            <w:pPr>
              <w:spacing w:after="40" w:before="40"/>
            </w:pPr>
            <w:r/>
            <w:r>
              <w:rPr>
                <w:sz w:val="16"/>
              </w:rPr>
              <w:t>Brief section 5 requires 'voucher type performance' on the Merchant page. Used by BOTH the sales fact and the redemption fact — the textbook definition of a conformed dimension. Also carries category and margin band, which do not exist in the source and are maintained as a dbt seed so the commercial team can change them without a code deployment.</w:t>
            </w:r>
          </w:p>
        </w:tc>
      </w:tr>
      <w:tr>
        <w:tc>
          <w:tcPr>
            <w:tcW w:type="dxa" w:w="2268"/>
            <w:shd w:val="clear" w:fill="F2F6FB"/>
          </w:tcPr>
          <w:p>
            <w:pPr>
              <w:spacing w:after="40" w:before="40"/>
            </w:pPr>
            <w:r/>
            <w:r>
              <w:rPr>
                <w:sz w:val="16"/>
              </w:rPr>
              <w:t>fct_merchant_target</w:t>
            </w:r>
          </w:p>
        </w:tc>
        <w:tc>
          <w:tcPr>
            <w:tcW w:type="dxa" w:w="1474"/>
            <w:shd w:val="clear" w:fill="F2F6FB"/>
          </w:tcPr>
          <w:p>
            <w:pPr>
              <w:spacing w:after="40" w:before="40"/>
            </w:pPr>
            <w:r/>
            <w:r>
              <w:rPr>
                <w:sz w:val="16"/>
              </w:rPr>
              <w:t>Grain necessity</w:t>
            </w:r>
          </w:p>
        </w:tc>
        <w:tc>
          <w:tcPr>
            <w:tcW w:type="dxa" w:w="794"/>
            <w:shd w:val="clear" w:fill="F2F6FB"/>
          </w:tcPr>
          <w:p>
            <w:pPr>
              <w:spacing w:after="40" w:before="40"/>
              <w:jc w:val="right"/>
            </w:pPr>
            <w:r/>
            <w:r>
              <w:rPr>
                <w:sz w:val="16"/>
              </w:rPr>
              <w:t>175</w:t>
            </w:r>
          </w:p>
        </w:tc>
        <w:tc>
          <w:tcPr>
            <w:tcW w:type="dxa" w:w="4876"/>
            <w:shd w:val="clear" w:fill="F2F6FB"/>
          </w:tcPr>
          <w:p>
            <w:pPr>
              <w:spacing w:after="40" w:before="40"/>
            </w:pPr>
            <w:r/>
            <w:r>
              <w:rPr>
                <w:sz w:val="16"/>
              </w:rPr>
              <w:t>Brief section 4 requires period comparison and a target measure; BaseMonthlySalesTarget is supplied on MerchantReference. Could have been an attribute on dim_merchant — but it is a MONTHLY measure while sales are DAILY. On the dimension it would re-count once per fact row. A separate fact at month grain, joined only through shared dimensions, is the standard Kimball answer to multi-grain reporting. 25 merchants x 7 months = 175 rows. Targets are pro-rated by days covered so a part-month never shows a false shortfall.</w:t>
            </w:r>
          </w:p>
        </w:tc>
      </w:tr>
      <w:tr>
        <w:tc>
          <w:tcPr>
            <w:tcW w:type="dxa" w:w="2268"/>
          </w:tcPr>
          <w:p>
            <w:pPr>
              <w:spacing w:after="40" w:before="40"/>
            </w:pPr>
            <w:r/>
            <w:r>
              <w:rPr>
                <w:sz w:val="16"/>
              </w:rPr>
              <w:t>dim_merchant_history</w:t>
            </w:r>
          </w:p>
        </w:tc>
        <w:tc>
          <w:tcPr>
            <w:tcW w:type="dxa" w:w="1474"/>
          </w:tcPr>
          <w:p>
            <w:pPr>
              <w:spacing w:after="40" w:before="40"/>
            </w:pPr>
            <w:r/>
            <w:r>
              <w:rPr>
                <w:sz w:val="16"/>
              </w:rPr>
              <w:t>My extension</w:t>
            </w:r>
          </w:p>
        </w:tc>
        <w:tc>
          <w:tcPr>
            <w:tcW w:type="dxa" w:w="794"/>
          </w:tcPr>
          <w:p>
            <w:pPr>
              <w:spacing w:after="40" w:before="40"/>
              <w:jc w:val="right"/>
            </w:pPr>
            <w:r/>
            <w:r>
              <w:rPr>
                <w:sz w:val="16"/>
              </w:rPr>
              <w:t>25</w:t>
            </w:r>
          </w:p>
        </w:tc>
        <w:tc>
          <w:tcPr>
            <w:tcW w:type="dxa" w:w="4876"/>
          </w:tcPr>
          <w:p>
            <w:pPr>
              <w:spacing w:after="40" w:before="40"/>
            </w:pPr>
            <w:r/>
            <w:r>
              <w:rPr>
                <w:sz w:val="16"/>
              </w:rPr>
              <w:t>NOT requested. The Type 2 face of snap_merchant. dim_merchant answers 'what is this merchant TODAY' and is what the semantic model joins to. This answers 'what was this merchant WHEN that fact happened'. Loading only Type 2 and forcing every query through a date-range join would be purer and practically worse; loading only Type 1 loses history permanently. Both, clearly labelled, is the workable answer.</w:t>
            </w:r>
          </w:p>
        </w:tc>
      </w:tr>
      <w:tr>
        <w:tc>
          <w:tcPr>
            <w:tcW w:type="dxa" w:w="2268"/>
            <w:shd w:val="clear" w:fill="F2F6FB"/>
          </w:tcPr>
          <w:p>
            <w:pPr>
              <w:spacing w:after="40" w:before="40"/>
            </w:pPr>
            <w:r/>
            <w:r>
              <w:rPr>
                <w:sz w:val="16"/>
              </w:rPr>
              <w:t>mart_merchant_change_alerts</w:t>
            </w:r>
          </w:p>
        </w:tc>
        <w:tc>
          <w:tcPr>
            <w:tcW w:type="dxa" w:w="1474"/>
            <w:shd w:val="clear" w:fill="F2F6FB"/>
          </w:tcPr>
          <w:p>
            <w:pPr>
              <w:spacing w:after="40" w:before="40"/>
            </w:pPr>
            <w:r/>
            <w:r>
              <w:rPr>
                <w:sz w:val="16"/>
              </w:rPr>
              <w:t>My extension</w:t>
            </w:r>
          </w:p>
        </w:tc>
        <w:tc>
          <w:tcPr>
            <w:tcW w:type="dxa" w:w="794"/>
            <w:shd w:val="clear" w:fill="F2F6FB"/>
          </w:tcPr>
          <w:p>
            <w:pPr>
              <w:spacing w:after="40" w:before="40"/>
              <w:jc w:val="right"/>
            </w:pPr>
            <w:r/>
            <w:r>
              <w:rPr>
                <w:sz w:val="16"/>
              </w:rPr>
              <w:t>0</w:t>
            </w:r>
          </w:p>
        </w:tc>
        <w:tc>
          <w:tcPr>
            <w:tcW w:type="dxa" w:w="4876"/>
            <w:shd w:val="clear" w:fill="F2F6FB"/>
          </w:tcPr>
          <w:p>
            <w:pPr>
              <w:spacing w:after="40" w:before="40"/>
            </w:pPr>
            <w:r/>
            <w:r>
              <w:rPr>
                <w:sz w:val="16"/>
              </w:rPr>
              <w:t>NOT requested. Makes the snapshot actionable. Diffs consecutive snapshot versions and emits one row per changed field with a severity. A merchant moving to 'At Risk' is Critical; a re-based sales target is High, because it silently invalidates every period-over-period attainment comparison unless someone is told. Capturing history that nobody reads is not worth the storage — this is what makes the snapshot earn its place. Currently 0 rows: no change has occurred since first capture.</w:t>
            </w:r>
          </w:p>
        </w:tc>
      </w:tr>
      <w:tr>
        <w:tc>
          <w:tcPr>
            <w:tcW w:type="dxa" w:w="2268"/>
          </w:tcPr>
          <w:p>
            <w:pPr>
              <w:spacing w:after="40" w:before="40"/>
            </w:pPr>
            <w:r/>
            <w:r>
              <w:rPr>
                <w:sz w:val="16"/>
              </w:rPr>
              <w:t>mart_merchant_scorecard</w:t>
            </w:r>
          </w:p>
        </w:tc>
        <w:tc>
          <w:tcPr>
            <w:tcW w:type="dxa" w:w="1474"/>
          </w:tcPr>
          <w:p>
            <w:pPr>
              <w:spacing w:after="40" w:before="40"/>
            </w:pPr>
            <w:r/>
            <w:r>
              <w:rPr>
                <w:sz w:val="16"/>
              </w:rPr>
              <w:t>My extension</w:t>
            </w:r>
          </w:p>
        </w:tc>
        <w:tc>
          <w:tcPr>
            <w:tcW w:type="dxa" w:w="794"/>
          </w:tcPr>
          <w:p>
            <w:pPr>
              <w:spacing w:after="40" w:before="40"/>
              <w:jc w:val="right"/>
            </w:pPr>
            <w:r/>
            <w:r>
              <w:rPr>
                <w:sz w:val="16"/>
              </w:rPr>
              <w:t>25</w:t>
            </w:r>
          </w:p>
        </w:tc>
        <w:tc>
          <w:tcPr>
            <w:tcW w:type="dxa" w:w="4876"/>
          </w:tcPr>
          <w:p>
            <w:pPr>
              <w:spacing w:after="40" w:before="40"/>
            </w:pPr>
            <w:r/>
            <w:r>
              <w:rPr>
                <w:sz w:val="16"/>
              </w:rPr>
              <w:t>NOT requested. Drill-through target for the Merchant page and feature table for the ML layer. Holds the composite Health Score. Computed in SQL rather than DAX deliberately: it needs percentile ranking across the whole merchant population (expensive and awkward in DAX) and it must be byte-identical in Power BI, the Excel pack and the ML feature set. One definition in the warehouse is what keeps three artefacts agreeing.</w:t>
            </w:r>
          </w:p>
        </w:tc>
      </w:tr>
      <w:tr>
        <w:tc>
          <w:tcPr>
            <w:tcW w:type="dxa" w:w="2268"/>
            <w:shd w:val="clear" w:fill="F2F6FB"/>
          </w:tcPr>
          <w:p>
            <w:pPr>
              <w:spacing w:after="40" w:before="40"/>
            </w:pPr>
            <w:r/>
            <w:r>
              <w:rPr>
                <w:sz w:val="16"/>
              </w:rPr>
              <w:t>snap_merchant</w:t>
            </w:r>
          </w:p>
        </w:tc>
        <w:tc>
          <w:tcPr>
            <w:tcW w:type="dxa" w:w="1474"/>
            <w:shd w:val="clear" w:fill="F2F6FB"/>
          </w:tcPr>
          <w:p>
            <w:pPr>
              <w:spacing w:after="40" w:before="40"/>
            </w:pPr>
            <w:r/>
            <w:r>
              <w:rPr>
                <w:sz w:val="16"/>
              </w:rPr>
              <w:t>My extension</w:t>
            </w:r>
          </w:p>
        </w:tc>
        <w:tc>
          <w:tcPr>
            <w:tcW w:type="dxa" w:w="794"/>
            <w:shd w:val="clear" w:fill="F2F6FB"/>
          </w:tcPr>
          <w:p>
            <w:pPr>
              <w:spacing w:after="40" w:before="40"/>
              <w:jc w:val="right"/>
            </w:pPr>
            <w:r/>
            <w:r>
              <w:rPr>
                <w:sz w:val="16"/>
              </w:rPr>
              <w:t>25</w:t>
            </w:r>
          </w:p>
        </w:tc>
        <w:tc>
          <w:tcPr>
            <w:tcW w:type="dxa" w:w="4876"/>
            <w:shd w:val="clear" w:fill="F2F6FB"/>
          </w:tcPr>
          <w:p>
            <w:pPr>
              <w:spacing w:after="40" w:before="40"/>
            </w:pPr>
            <w:r/>
            <w:r>
              <w:rPr>
                <w:sz w:val="16"/>
              </w:rPr>
              <w:t>NOT requested. Added because MerchantReference is a current-state extract. Each load overwrites the last, so active_status, account_manager, region and target history is destroyed at source. Two merchants are currently flagged 'At Risk' — 'when did that change, and did performance decline before or after?' is otherwise unanswerable forever. Uses the `check` strategy because the source has no reliable last-modified column (OnboardedDate is when the merchant joined, not when the row was edited).</w:t>
            </w:r>
          </w:p>
        </w:tc>
      </w:tr>
    </w:tbl>
    <w:p>
      <w:pPr>
        <w:spacing w:after="80"/>
      </w:pPr>
    </w:p>
    <w:tbl>
      <w:tblPr>
        <w:tblStyle w:val="TableGrid"/>
        <w:tblW w:type="auto" w:w="0"/>
        <w:tblLook w:firstColumn="1" w:firstRow="1" w:lastColumn="0" w:lastRow="0" w:noHBand="0" w:noVBand="1" w:val="04A0"/>
      </w:tblPr>
      <w:tblGrid>
        <w:gridCol w:w="9858"/>
      </w:tblGrid>
      <w:tr>
        <w:tc>
          <w:tcPr>
            <w:tcW w:type="dxa" w:w="9858"/>
            <w:shd w:val="clear" w:fill="FEF8EC"/>
          </w:tcPr>
          <w:p>
            <w:r/>
            <w:r>
              <w:rPr>
                <w:b/>
                <w:color w:val="E8A317"/>
                <w:sz w:val="20"/>
              </w:rPr>
              <w:t>The fair criticism, and the answer</w:t>
            </w:r>
          </w:p>
          <w:p>
            <w:pPr>
              <w:spacing w:after="60"/>
            </w:pPr>
            <w:r>
              <w:rPr>
                <w:sz w:val="19"/>
              </w:rPr>
              <w:t>The fair criticism is that four dimensions of 4-6 rows each is over-normalisation, and some modellers would keep those as degenerate columns on the ticket fact. That was in fact the first design here — all three ticket dimensions unioned into one table behind a discriminator — and it was worse for two concrete reasons. The three foreign keys on fct_support_tickets could not be relationship-tested, because a test cannot distinguish 'priority_key resolves to a priority' from 'resolves to something, somewhere'. And Power BI cannot build three independent filter paths off one physical table without role-playing copies. Splitting them added 9 enforced foreign keys that previously could not exist.</w:t>
            </w:r>
          </w:p>
        </w:tc>
      </w:tr>
    </w:tbl>
    <w:p>
      <w:pPr>
        <w:spacing w:after="80"/>
      </w:pPr>
    </w:p>
    <w:p>
      <w:pPr>
        <w:pStyle w:val="Heading2"/>
      </w:pPr>
      <w:r>
        <w:t>Before and after</w:t>
      </w:r>
    </w:p>
    <w:p>
      <w:pPr>
        <w:spacing w:after="140" w:before="0"/>
      </w:pPr>
      <w:r>
        <w:rPr>
          <w:b w:val="0"/>
          <w:i w:val="0"/>
          <w:sz w:val="21"/>
        </w:rPr>
        <w:t>The four supplied files carry 6 duplicated attribute columns, no declared keys, no calendar, and every value as text. Every join between them is an implicit string match that nothing validates. The gold schema replaces that with conformed dimensions, typed columns and 15 foreign keys that are enforced by a test on every build — drop a join and the build fails.</w:t>
      </w:r>
    </w:p>
    <w:p>
      <w:pPr>
        <w:sectPr>
          <w:pgSz w:w="12240" w:h="15840"/>
          <w:pgMar w:top="1134" w:right="1191" w:bottom="1134" w:left="1191" w:header="720" w:footer="720" w:gutter="0"/>
          <w:cols w:space="720"/>
          <w:docGrid w:linePitch="360"/>
        </w:sectPr>
      </w:pPr>
    </w:p>
    <w:p>
      <w:pPr>
        <w:jc w:val="center"/>
      </w:pPr>
      <w:r>
        <w:drawing>
          <wp:inline xmlns:a="http://schemas.openxmlformats.org/drawingml/2006/main" xmlns:pic="http://schemas.openxmlformats.org/drawingml/2006/picture">
            <wp:extent cx="9540000" cy="5254119"/>
            <wp:docPr id="1" name="Picture 1"/>
            <wp:cNvGraphicFramePr>
              <a:graphicFrameLocks noChangeAspect="1"/>
            </wp:cNvGraphicFramePr>
            <a:graphic>
              <a:graphicData uri="http://schemas.openxmlformats.org/drawingml/2006/picture">
                <pic:pic>
                  <pic:nvPicPr>
                    <pic:cNvPr id="0" name="erd_before.png"/>
                    <pic:cNvPicPr/>
                  </pic:nvPicPr>
                  <pic:blipFill>
                    <a:blip r:embed="rId9"/>
                    <a:stretch>
                      <a:fillRect/>
                    </a:stretch>
                  </pic:blipFill>
                  <pic:spPr>
                    <a:xfrm>
                      <a:off x="0" y="0"/>
                      <a:ext cx="9540000" cy="5254119"/>
                    </a:xfrm>
                    <a:prstGeom prst="rect"/>
                  </pic:spPr>
                </pic:pic>
              </a:graphicData>
            </a:graphic>
          </wp:inline>
        </w:drawing>
      </w:r>
    </w:p>
    <w:p>
      <w:pPr>
        <w:spacing w:after="140" w:before="0"/>
        <w:jc w:val="center"/>
      </w:pPr>
      <w:r>
        <w:rPr>
          <w:b w:val="0"/>
          <w:i/>
          <w:color w:val="5A6672"/>
          <w:sz w:val="18"/>
        </w:rPr>
        <w:t>BEFORE — the four files as delivered. Red dashed arrows are implicit string joins that nothing validates; DUP marks a duplicated attribute column.</w:t>
      </w:r>
    </w:p>
    <w:p/>
    <w:p>
      <w:pPr>
        <w:jc w:val="center"/>
      </w:pPr>
      <w:r>
        <w:drawing>
          <wp:inline xmlns:a="http://schemas.openxmlformats.org/drawingml/2006/main" xmlns:pic="http://schemas.openxmlformats.org/drawingml/2006/picture">
            <wp:extent cx="9540000" cy="5572074"/>
            <wp:docPr id="2" name="Picture 2"/>
            <wp:cNvGraphicFramePr>
              <a:graphicFrameLocks noChangeAspect="1"/>
            </wp:cNvGraphicFramePr>
            <a:graphic>
              <a:graphicData uri="http://schemas.openxmlformats.org/drawingml/2006/picture">
                <pic:pic>
                  <pic:nvPicPr>
                    <pic:cNvPr id="0" name="erd_after.png"/>
                    <pic:cNvPicPr/>
                  </pic:nvPicPr>
                  <pic:blipFill>
                    <a:blip r:embed="rId10"/>
                    <a:stretch>
                      <a:fillRect/>
                    </a:stretch>
                  </pic:blipFill>
                  <pic:spPr>
                    <a:xfrm>
                      <a:off x="0" y="0"/>
                      <a:ext cx="9540000" cy="5572074"/>
                    </a:xfrm>
                    <a:prstGeom prst="rect"/>
                  </pic:spPr>
                </pic:pic>
              </a:graphicData>
            </a:graphic>
          </wp:inline>
        </w:drawing>
      </w:r>
    </w:p>
    <w:p>
      <w:pPr>
        <w:spacing w:after="140" w:before="0"/>
        <w:jc w:val="center"/>
      </w:pPr>
      <w:r>
        <w:rPr>
          <w:b w:val="0"/>
          <w:i/>
          <w:color w:val="5A6672"/>
          <w:sz w:val="18"/>
        </w:rPr>
        <w:t>AFTER — the gold star schema. Every arrow is an enforced relationships test, and each table is coloured by why it exists.</w:t>
      </w:r>
    </w:p>
    <w:p/>
    <w:p>
      <w:pPr>
        <w:sectPr>
          <w:pgSz w:w="16838" w:h="11906" w:orient="landscape"/>
          <w:pgMar w:top="850" w:right="850" w:bottom="850" w:left="850" w:header="720" w:footer="720" w:gutter="0"/>
          <w:cols w:space="720"/>
          <w:docGrid w:linePitch="360"/>
        </w:sectPr>
      </w:pPr>
    </w:p>
    <w:tbl>
      <w:tblPr>
        <w:tblStyle w:val="TableGrid"/>
        <w:tblW w:type="auto" w:w="0"/>
        <w:jc w:val="center"/>
        <w:tblLook w:firstColumn="1" w:firstRow="1" w:lastColumn="0" w:lastRow="0" w:noHBand="0" w:noVBand="1" w:val="04A0"/>
      </w:tblPr>
      <w:tblGrid>
        <w:gridCol w:w="3175"/>
        <w:gridCol w:w="3175"/>
        <w:gridCol w:w="3175"/>
      </w:tblGrid>
      <w:tr>
        <w:tc>
          <w:tcPr>
            <w:tcW w:type="dxa" w:w="2381"/>
            <w:shd w:val="clear" w:fill="12305B"/>
          </w:tcPr>
          <w:p>
            <w:pPr>
              <w:spacing w:after="40" w:before="40"/>
            </w:pPr>
            <w:r/>
            <w:r>
              <w:rPr>
                <w:b/>
                <w:color w:val="FFFFFF"/>
                <w:sz w:val="17"/>
              </w:rPr>
              <w:t>Delivered</w:t>
            </w:r>
          </w:p>
        </w:tc>
        <w:tc>
          <w:tcPr>
            <w:tcW w:type="dxa" w:w="2721"/>
            <w:shd w:val="clear" w:fill="12305B"/>
          </w:tcPr>
          <w:p>
            <w:pPr>
              <w:spacing w:after="40" w:before="40"/>
            </w:pPr>
            <w:r/>
            <w:r>
              <w:rPr>
                <w:b/>
                <w:color w:val="FFFFFF"/>
                <w:sz w:val="17"/>
              </w:rPr>
              <w:t>Modelled</w:t>
            </w:r>
          </w:p>
        </w:tc>
        <w:tc>
          <w:tcPr>
            <w:tcW w:type="dxa" w:w="4309"/>
            <w:shd w:val="clear" w:fill="12305B"/>
          </w:tcPr>
          <w:p>
            <w:pPr>
              <w:spacing w:after="40" w:before="40"/>
            </w:pPr>
            <w:r/>
            <w:r>
              <w:rPr>
                <w:b/>
                <w:color w:val="FFFFFF"/>
                <w:sz w:val="17"/>
              </w:rPr>
              <w:t>Why it matters</w:t>
            </w:r>
          </w:p>
        </w:tc>
      </w:tr>
      <w:tr>
        <w:tc>
          <w:tcPr>
            <w:tcW w:type="dxa" w:w="2381"/>
          </w:tcPr>
          <w:p>
            <w:pPr>
              <w:spacing w:after="40" w:before="40"/>
            </w:pPr>
            <w:r/>
            <w:r>
              <w:rPr>
                <w:sz w:val="17"/>
              </w:rPr>
              <w:t>No date table</w:t>
            </w:r>
          </w:p>
        </w:tc>
        <w:tc>
          <w:tcPr>
            <w:tcW w:type="dxa" w:w="2721"/>
          </w:tcPr>
          <w:p>
            <w:pPr>
              <w:spacing w:after="40" w:before="40"/>
            </w:pPr>
            <w:r/>
            <w:r>
              <w:rPr>
                <w:sz w:val="17"/>
              </w:rPr>
              <w:t>dim_date — 365 contiguous days, gap-tested</w:t>
            </w:r>
          </w:p>
        </w:tc>
        <w:tc>
          <w:tcPr>
            <w:tcW w:type="dxa" w:w="4309"/>
          </w:tcPr>
          <w:p>
            <w:pPr>
              <w:spacing w:after="40" w:before="40"/>
            </w:pPr>
            <w:r/>
            <w:r>
              <w:rPr>
                <w:sz w:val="17"/>
              </w:rPr>
              <w:t>Time intelligence returns wrong answers, not errors, on a gapped calendar</w:t>
            </w:r>
          </w:p>
        </w:tc>
      </w:tr>
      <w:tr>
        <w:tc>
          <w:tcPr>
            <w:tcW w:type="dxa" w:w="2381"/>
            <w:shd w:val="clear" w:fill="F2F6FB"/>
          </w:tcPr>
          <w:p>
            <w:pPr>
              <w:spacing w:after="40" w:before="40"/>
            </w:pPr>
            <w:r/>
            <w:r>
              <w:rPr>
                <w:sz w:val="17"/>
              </w:rPr>
              <w:t>Merchant/Region/Channel on 3 facts</w:t>
            </w:r>
          </w:p>
        </w:tc>
        <w:tc>
          <w:tcPr>
            <w:tcW w:type="dxa" w:w="2721"/>
            <w:shd w:val="clear" w:fill="F2F6FB"/>
          </w:tcPr>
          <w:p>
            <w:pPr>
              <w:spacing w:after="40" w:before="40"/>
            </w:pPr>
            <w:r/>
            <w:r>
              <w:rPr>
                <w:sz w:val="17"/>
              </w:rPr>
              <w:t>Dropped; live only on dim_merchant</w:t>
            </w:r>
          </w:p>
        </w:tc>
        <w:tc>
          <w:tcPr>
            <w:tcW w:type="dxa" w:w="4309"/>
            <w:shd w:val="clear" w:fill="F2F6FB"/>
          </w:tcPr>
          <w:p>
            <w:pPr>
              <w:spacing w:after="40" w:before="40"/>
            </w:pPr>
            <w:r/>
            <w:r>
              <w:rPr>
                <w:sz w:val="17"/>
              </w:rPr>
              <w:t>Profiling proved 100% agreement, so removal is lossless — and stops two versions of 'Region' existing</w:t>
            </w:r>
          </w:p>
        </w:tc>
      </w:tr>
      <w:tr>
        <w:tc>
          <w:tcPr>
            <w:tcW w:type="dxa" w:w="2381"/>
          </w:tcPr>
          <w:p>
            <w:pPr>
              <w:spacing w:after="40" w:before="40"/>
            </w:pPr>
            <w:r/>
            <w:r>
              <w:rPr>
                <w:sz w:val="17"/>
              </w:rPr>
              <w:t>String joins, nothing enforced</w:t>
            </w:r>
          </w:p>
        </w:tc>
        <w:tc>
          <w:tcPr>
            <w:tcW w:type="dxa" w:w="2721"/>
          </w:tcPr>
          <w:p>
            <w:pPr>
              <w:spacing w:after="40" w:before="40"/>
            </w:pPr>
            <w:r/>
            <w:r>
              <w:rPr>
                <w:sz w:val="17"/>
              </w:rPr>
              <w:t>15 relationships tests on every build</w:t>
            </w:r>
          </w:p>
        </w:tc>
        <w:tc>
          <w:tcPr>
            <w:tcW w:type="dxa" w:w="4309"/>
          </w:tcPr>
          <w:p>
            <w:pPr>
              <w:spacing w:after="40" w:before="40"/>
            </w:pPr>
            <w:r/>
            <w:r>
              <w:rPr>
                <w:sz w:val="17"/>
              </w:rPr>
              <w:t>A broken join fails the pipeline instead of silently returning fewer rows</w:t>
            </w:r>
          </w:p>
        </w:tc>
      </w:tr>
      <w:tr>
        <w:tc>
          <w:tcPr>
            <w:tcW w:type="dxa" w:w="2381"/>
            <w:shd w:val="clear" w:fill="F2F6FB"/>
          </w:tcPr>
          <w:p>
            <w:pPr>
              <w:spacing w:after="40" w:before="40"/>
            </w:pPr>
            <w:r/>
            <w:r>
              <w:rPr>
                <w:sz w:val="17"/>
              </w:rPr>
              <w:t>Everything text</w:t>
            </w:r>
          </w:p>
        </w:tc>
        <w:tc>
          <w:tcPr>
            <w:tcW w:type="dxa" w:w="2721"/>
            <w:shd w:val="clear" w:fill="F2F6FB"/>
          </w:tcPr>
          <w:p>
            <w:pPr>
              <w:spacing w:after="40" w:before="40"/>
            </w:pPr>
            <w:r/>
            <w:r>
              <w:rPr>
                <w:sz w:val="17"/>
              </w:rPr>
              <w:t>Typed at silver</w:t>
            </w:r>
          </w:p>
        </w:tc>
        <w:tc>
          <w:tcPr>
            <w:tcW w:type="dxa" w:w="4309"/>
            <w:shd w:val="clear" w:fill="F2F6FB"/>
          </w:tcPr>
          <w:p>
            <w:pPr>
              <w:spacing w:after="40" w:before="40"/>
            </w:pPr>
            <w:r/>
            <w:r>
              <w:rPr>
                <w:sz w:val="17"/>
              </w:rPr>
              <w:t>No implicit coercion hiding inside an aggregate</w:t>
            </w:r>
          </w:p>
        </w:tc>
      </w:tr>
      <w:tr>
        <w:tc>
          <w:tcPr>
            <w:tcW w:type="dxa" w:w="2381"/>
          </w:tcPr>
          <w:p>
            <w:pPr>
              <w:spacing w:after="40" w:before="40"/>
            </w:pPr>
            <w:r/>
            <w:r>
              <w:rPr>
                <w:sz w:val="17"/>
              </w:rPr>
              <w:t>Repeated category strings</w:t>
            </w:r>
          </w:p>
        </w:tc>
        <w:tc>
          <w:tcPr>
            <w:tcW w:type="dxa" w:w="2721"/>
          </w:tcPr>
          <w:p>
            <w:pPr>
              <w:spacing w:after="40" w:before="40"/>
            </w:pPr>
            <w:r/>
            <w:r>
              <w:rPr>
                <w:sz w:val="17"/>
              </w:rPr>
              <w:t>4 conformed dimensions</w:t>
            </w:r>
          </w:p>
        </w:tc>
        <w:tc>
          <w:tcPr>
            <w:tcW w:type="dxa" w:w="4309"/>
          </w:tcPr>
          <w:p>
            <w:pPr>
              <w:spacing w:after="40" w:before="40"/>
            </w:pPr>
            <w:r/>
            <w:r>
              <w:rPr>
                <w:sz w:val="17"/>
              </w:rPr>
              <w:t>Sort order, grouping and metadata that do not exist in the source</w:t>
            </w:r>
          </w:p>
        </w:tc>
      </w:tr>
      <w:tr>
        <w:tc>
          <w:tcPr>
            <w:tcW w:type="dxa" w:w="2381"/>
            <w:shd w:val="clear" w:fill="F2F6FB"/>
          </w:tcPr>
          <w:p>
            <w:pPr>
              <w:spacing w:after="40" w:before="40"/>
            </w:pPr>
            <w:r/>
            <w:r>
              <w:rPr>
                <w:sz w:val="17"/>
              </w:rPr>
              <w:t>Redemption date as a plain column</w:t>
            </w:r>
          </w:p>
        </w:tc>
        <w:tc>
          <w:tcPr>
            <w:tcW w:type="dxa" w:w="2721"/>
            <w:shd w:val="clear" w:fill="F2F6FB"/>
          </w:tcPr>
          <w:p>
            <w:pPr>
              <w:spacing w:after="40" w:before="40"/>
            </w:pPr>
            <w:r/>
            <w:r>
              <w:rPr>
                <w:sz w:val="17"/>
              </w:rPr>
              <w:t>Role-playing date, ACTIVE + INACTIVE</w:t>
            </w:r>
          </w:p>
        </w:tc>
        <w:tc>
          <w:tcPr>
            <w:tcW w:type="dxa" w:w="4309"/>
            <w:shd w:val="clear" w:fill="F2F6FB"/>
          </w:tcPr>
          <w:p>
            <w:pPr>
              <w:spacing w:after="40" w:before="40"/>
            </w:pPr>
            <w:r/>
            <w:r>
              <w:rPr>
                <w:sz w:val="17"/>
              </w:rPr>
              <w:t>Otherwise late redemptions attribute back to the sale month and a backlog is invisible</w:t>
            </w:r>
          </w:p>
        </w:tc>
      </w:tr>
      <w:tr>
        <w:tc>
          <w:tcPr>
            <w:tcW w:type="dxa" w:w="2381"/>
          </w:tcPr>
          <w:p>
            <w:pPr>
              <w:spacing w:after="40" w:before="40"/>
            </w:pPr>
            <w:r/>
            <w:r>
              <w:rPr>
                <w:sz w:val="17"/>
              </w:rPr>
              <w:t>No history</w:t>
            </w:r>
          </w:p>
        </w:tc>
        <w:tc>
          <w:tcPr>
            <w:tcW w:type="dxa" w:w="2721"/>
          </w:tcPr>
          <w:p>
            <w:pPr>
              <w:spacing w:after="40" w:before="40"/>
            </w:pPr>
            <w:r/>
            <w:r>
              <w:rPr>
                <w:sz w:val="17"/>
              </w:rPr>
              <w:t>snap_merchant SCD2 + dim_merchant_history</w:t>
            </w:r>
          </w:p>
        </w:tc>
        <w:tc>
          <w:tcPr>
            <w:tcW w:type="dxa" w:w="4309"/>
          </w:tcPr>
          <w:p>
            <w:pPr>
              <w:spacing w:after="40" w:before="40"/>
            </w:pPr>
            <w:r/>
            <w:r>
              <w:rPr>
                <w:sz w:val="17"/>
              </w:rPr>
              <w:t>The source overwrites; 'when did this merchant become At Risk' was unanswerable</w:t>
            </w:r>
          </w:p>
        </w:tc>
      </w:tr>
      <w:tr>
        <w:tc>
          <w:tcPr>
            <w:tcW w:type="dxa" w:w="2381"/>
            <w:shd w:val="clear" w:fill="F2F6FB"/>
          </w:tcPr>
          <w:p>
            <w:pPr>
              <w:spacing w:after="40" w:before="40"/>
            </w:pPr>
            <w:r/>
            <w:r>
              <w:rPr>
                <w:sz w:val="17"/>
              </w:rPr>
              <w:t>Two grains conflated</w:t>
            </w:r>
          </w:p>
        </w:tc>
        <w:tc>
          <w:tcPr>
            <w:tcW w:type="dxa" w:w="2721"/>
            <w:shd w:val="clear" w:fill="F2F6FB"/>
          </w:tcPr>
          <w:p>
            <w:pPr>
              <w:spacing w:after="40" w:before="40"/>
            </w:pPr>
            <w:r/>
            <w:r>
              <w:rPr>
                <w:sz w:val="17"/>
              </w:rPr>
              <w:t>Separate facts + a recorded 4.2:1 ratio</w:t>
            </w:r>
          </w:p>
        </w:tc>
        <w:tc>
          <w:tcPr>
            <w:tcW w:type="dxa" w:w="4309"/>
            <w:shd w:val="clear" w:fill="F2F6FB"/>
          </w:tcPr>
          <w:p>
            <w:pPr>
              <w:spacing w:after="40" w:before="40"/>
            </w:pPr>
            <w:r/>
            <w:r>
              <w:rPr>
                <w:sz w:val="17"/>
              </w:rPr>
              <w:t>Stops someone reporting a R43.5m 'break' that is not a break</w:t>
            </w:r>
          </w:p>
        </w:tc>
      </w:tr>
    </w:tbl>
    <w:p>
      <w:pPr>
        <w:spacing w:after="80"/>
      </w:pPr>
    </w:p>
    <w:p>
      <w:pPr>
        <w:pStyle w:val="Heading2"/>
      </w:pPr>
      <w:r>
        <w:t>Tables</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2835"/>
            <w:shd w:val="clear" w:fill="12305B"/>
          </w:tcPr>
          <w:p>
            <w:pPr>
              <w:spacing w:after="40" w:before="40"/>
            </w:pPr>
            <w:r/>
            <w:r>
              <w:rPr>
                <w:b/>
                <w:color w:val="FFFFFF"/>
                <w:sz w:val="18"/>
              </w:rPr>
              <w:t>Table</w:t>
            </w:r>
          </w:p>
        </w:tc>
        <w:tc>
          <w:tcPr>
            <w:tcW w:type="dxa" w:w="2494"/>
            <w:shd w:val="clear" w:fill="12305B"/>
          </w:tcPr>
          <w:p>
            <w:pPr>
              <w:spacing w:after="40" w:before="40"/>
            </w:pPr>
            <w:r/>
            <w:r>
              <w:rPr>
                <w:b/>
                <w:color w:val="FFFFFF"/>
                <w:sz w:val="18"/>
              </w:rPr>
              <w:t>Type</w:t>
            </w:r>
          </w:p>
        </w:tc>
        <w:tc>
          <w:tcPr>
            <w:tcW w:type="dxa" w:w="3175"/>
            <w:shd w:val="clear" w:fill="12305B"/>
          </w:tcPr>
          <w:p>
            <w:pPr>
              <w:spacing w:after="40" w:before="40"/>
            </w:pPr>
            <w:r/>
            <w:r>
              <w:rPr>
                <w:b/>
                <w:color w:val="FFFFFF"/>
                <w:sz w:val="18"/>
              </w:rPr>
              <w:t>Grain</w:t>
            </w:r>
          </w:p>
        </w:tc>
        <w:tc>
          <w:tcPr>
            <w:tcW w:type="dxa" w:w="907"/>
            <w:shd w:val="clear" w:fill="12305B"/>
          </w:tcPr>
          <w:p>
            <w:pPr>
              <w:spacing w:after="40" w:before="40"/>
              <w:jc w:val="right"/>
            </w:pPr>
            <w:r/>
            <w:r>
              <w:rPr>
                <w:b/>
                <w:color w:val="FFFFFF"/>
                <w:sz w:val="18"/>
              </w:rPr>
              <w:t>Rows</w:t>
            </w:r>
          </w:p>
        </w:tc>
      </w:tr>
      <w:tr>
        <w:tc>
          <w:tcPr>
            <w:tcW w:type="dxa" w:w="2835"/>
          </w:tcPr>
          <w:p>
            <w:pPr>
              <w:spacing w:after="40" w:before="40"/>
            </w:pPr>
            <w:r/>
            <w:r>
              <w:rPr>
                <w:sz w:val="18"/>
              </w:rPr>
              <w:t>dim_date</w:t>
            </w:r>
          </w:p>
        </w:tc>
        <w:tc>
          <w:tcPr>
            <w:tcW w:type="dxa" w:w="2494"/>
          </w:tcPr>
          <w:p>
            <w:pPr>
              <w:spacing w:after="40" w:before="40"/>
            </w:pPr>
            <w:r/>
            <w:r>
              <w:rPr>
                <w:sz w:val="18"/>
              </w:rPr>
              <w:t>Dimension</w:t>
            </w:r>
          </w:p>
        </w:tc>
        <w:tc>
          <w:tcPr>
            <w:tcW w:type="dxa" w:w="3175"/>
          </w:tcPr>
          <w:p>
            <w:pPr>
              <w:spacing w:after="40" w:before="40"/>
            </w:pPr>
            <w:r/>
            <w:r>
              <w:rPr>
                <w:sz w:val="18"/>
              </w:rPr>
              <w:t>One row per calendar day, contiguous, full year boundaries</w:t>
            </w:r>
          </w:p>
        </w:tc>
        <w:tc>
          <w:tcPr>
            <w:tcW w:type="dxa" w:w="907"/>
          </w:tcPr>
          <w:p>
            <w:pPr>
              <w:spacing w:after="40" w:before="40"/>
              <w:jc w:val="right"/>
            </w:pPr>
            <w:r/>
            <w:r>
              <w:rPr>
                <w:sz w:val="18"/>
              </w:rPr>
              <w:t>365</w:t>
            </w:r>
          </w:p>
        </w:tc>
      </w:tr>
      <w:tr>
        <w:tc>
          <w:tcPr>
            <w:tcW w:type="dxa" w:w="2835"/>
            <w:shd w:val="clear" w:fill="F2F6FB"/>
          </w:tcPr>
          <w:p>
            <w:pPr>
              <w:spacing w:after="40" w:before="40"/>
            </w:pPr>
            <w:r/>
            <w:r>
              <w:rPr>
                <w:sz w:val="18"/>
              </w:rPr>
              <w:t>dim_merchant</w:t>
            </w:r>
          </w:p>
        </w:tc>
        <w:tc>
          <w:tcPr>
            <w:tcW w:type="dxa" w:w="2494"/>
            <w:shd w:val="clear" w:fill="F2F6FB"/>
          </w:tcPr>
          <w:p>
            <w:pPr>
              <w:spacing w:after="40" w:before="40"/>
            </w:pPr>
            <w:r/>
            <w:r>
              <w:rPr>
                <w:sz w:val="18"/>
              </w:rPr>
              <w:t>Dimension</w:t>
            </w:r>
          </w:p>
        </w:tc>
        <w:tc>
          <w:tcPr>
            <w:tcW w:type="dxa" w:w="3175"/>
            <w:shd w:val="clear" w:fill="F2F6FB"/>
          </w:tcPr>
          <w:p>
            <w:pPr>
              <w:spacing w:after="40" w:before="40"/>
            </w:pPr>
            <w:r/>
            <w:r>
              <w:rPr>
                <w:sz w:val="18"/>
              </w:rPr>
              <w:t>One row per merchant + Unknown member</w:t>
            </w:r>
          </w:p>
        </w:tc>
        <w:tc>
          <w:tcPr>
            <w:tcW w:type="dxa" w:w="907"/>
            <w:shd w:val="clear" w:fill="F2F6FB"/>
          </w:tcPr>
          <w:p>
            <w:pPr>
              <w:spacing w:after="40" w:before="40"/>
              <w:jc w:val="right"/>
            </w:pPr>
            <w:r/>
            <w:r>
              <w:rPr>
                <w:sz w:val="18"/>
              </w:rPr>
              <w:t>26</w:t>
            </w:r>
          </w:p>
        </w:tc>
      </w:tr>
      <w:tr>
        <w:tc>
          <w:tcPr>
            <w:tcW w:type="dxa" w:w="2835"/>
          </w:tcPr>
          <w:p>
            <w:pPr>
              <w:spacing w:after="40" w:before="40"/>
            </w:pPr>
            <w:r/>
            <w:r>
              <w:rPr>
                <w:sz w:val="18"/>
              </w:rPr>
              <w:t>dim_merchant_history</w:t>
            </w:r>
          </w:p>
        </w:tc>
        <w:tc>
          <w:tcPr>
            <w:tcW w:type="dxa" w:w="2494"/>
          </w:tcPr>
          <w:p>
            <w:pPr>
              <w:spacing w:after="40" w:before="40"/>
            </w:pPr>
            <w:r/>
            <w:r>
              <w:rPr>
                <w:sz w:val="18"/>
              </w:rPr>
              <w:t>Dimension (Type 2)</w:t>
            </w:r>
          </w:p>
        </w:tc>
        <w:tc>
          <w:tcPr>
            <w:tcW w:type="dxa" w:w="3175"/>
          </w:tcPr>
          <w:p>
            <w:pPr>
              <w:spacing w:after="40" w:before="40"/>
            </w:pPr>
            <w:r/>
            <w:r>
              <w:rPr>
                <w:sz w:val="18"/>
              </w:rPr>
              <w:t>One row per merchant per version, with valid_from / valid_to</w:t>
            </w:r>
          </w:p>
        </w:tc>
        <w:tc>
          <w:tcPr>
            <w:tcW w:type="dxa" w:w="907"/>
          </w:tcPr>
          <w:p>
            <w:pPr>
              <w:spacing w:after="40" w:before="40"/>
              <w:jc w:val="right"/>
            </w:pPr>
            <w:r/>
            <w:r>
              <w:rPr>
                <w:sz w:val="18"/>
              </w:rPr>
              <w:t>25</w:t>
            </w:r>
          </w:p>
        </w:tc>
      </w:tr>
      <w:tr>
        <w:tc>
          <w:tcPr>
            <w:tcW w:type="dxa" w:w="2835"/>
            <w:shd w:val="clear" w:fill="F2F6FB"/>
          </w:tcPr>
          <w:p>
            <w:pPr>
              <w:spacing w:after="40" w:before="40"/>
            </w:pPr>
            <w:r/>
            <w:r>
              <w:rPr>
                <w:sz w:val="18"/>
              </w:rPr>
              <w:t>dim_voucher_type</w:t>
            </w:r>
          </w:p>
        </w:tc>
        <w:tc>
          <w:tcPr>
            <w:tcW w:type="dxa" w:w="2494"/>
            <w:shd w:val="clear" w:fill="F2F6FB"/>
          </w:tcPr>
          <w:p>
            <w:pPr>
              <w:spacing w:after="40" w:before="40"/>
            </w:pPr>
            <w:r/>
            <w:r>
              <w:rPr>
                <w:sz w:val="18"/>
              </w:rPr>
              <w:t>Dimension</w:t>
            </w:r>
          </w:p>
        </w:tc>
        <w:tc>
          <w:tcPr>
            <w:tcW w:type="dxa" w:w="3175"/>
            <w:shd w:val="clear" w:fill="F2F6FB"/>
          </w:tcPr>
          <w:p>
            <w:pPr>
              <w:spacing w:after="40" w:before="40"/>
            </w:pPr>
            <w:r/>
            <w:r>
              <w:rPr>
                <w:sz w:val="18"/>
              </w:rPr>
              <w:t>One row per voucher type</w:t>
            </w:r>
          </w:p>
        </w:tc>
        <w:tc>
          <w:tcPr>
            <w:tcW w:type="dxa" w:w="907"/>
            <w:shd w:val="clear" w:fill="F2F6FB"/>
          </w:tcPr>
          <w:p>
            <w:pPr>
              <w:spacing w:after="40" w:before="40"/>
              <w:jc w:val="right"/>
            </w:pPr>
            <w:r/>
            <w:r>
              <w:rPr>
                <w:sz w:val="18"/>
              </w:rPr>
              <w:t>5</w:t>
            </w:r>
          </w:p>
        </w:tc>
      </w:tr>
      <w:tr>
        <w:tc>
          <w:tcPr>
            <w:tcW w:type="dxa" w:w="2835"/>
          </w:tcPr>
          <w:p>
            <w:pPr>
              <w:spacing w:after="40" w:before="40"/>
            </w:pPr>
            <w:r/>
            <w:r>
              <w:rPr>
                <w:sz w:val="18"/>
              </w:rPr>
              <w:t>dim_priority</w:t>
            </w:r>
          </w:p>
        </w:tc>
        <w:tc>
          <w:tcPr>
            <w:tcW w:type="dxa" w:w="2494"/>
          </w:tcPr>
          <w:p>
            <w:pPr>
              <w:spacing w:after="40" w:before="40"/>
            </w:pPr>
            <w:r/>
            <w:r>
              <w:rPr>
                <w:sz w:val="18"/>
              </w:rPr>
              <w:t>Dimension</w:t>
            </w:r>
          </w:p>
        </w:tc>
        <w:tc>
          <w:tcPr>
            <w:tcW w:type="dxa" w:w="3175"/>
          </w:tcPr>
          <w:p>
            <w:pPr>
              <w:spacing w:after="40" w:before="40"/>
            </w:pPr>
            <w:r/>
            <w:r>
              <w:rPr>
                <w:sz w:val="18"/>
              </w:rPr>
              <w:t>One row per ticket priority</w:t>
            </w:r>
          </w:p>
        </w:tc>
        <w:tc>
          <w:tcPr>
            <w:tcW w:type="dxa" w:w="907"/>
          </w:tcPr>
          <w:p>
            <w:pPr>
              <w:spacing w:after="40" w:before="40"/>
              <w:jc w:val="right"/>
            </w:pPr>
            <w:r/>
            <w:r>
              <w:rPr>
                <w:sz w:val="18"/>
              </w:rPr>
              <w:t>4</w:t>
            </w:r>
          </w:p>
        </w:tc>
      </w:tr>
      <w:tr>
        <w:tc>
          <w:tcPr>
            <w:tcW w:type="dxa" w:w="2835"/>
            <w:shd w:val="clear" w:fill="F2F6FB"/>
          </w:tcPr>
          <w:p>
            <w:pPr>
              <w:spacing w:after="40" w:before="40"/>
            </w:pPr>
            <w:r/>
            <w:r>
              <w:rPr>
                <w:sz w:val="18"/>
              </w:rPr>
              <w:t>dim_ticket_type</w:t>
            </w:r>
          </w:p>
        </w:tc>
        <w:tc>
          <w:tcPr>
            <w:tcW w:type="dxa" w:w="2494"/>
            <w:shd w:val="clear" w:fill="F2F6FB"/>
          </w:tcPr>
          <w:p>
            <w:pPr>
              <w:spacing w:after="40" w:before="40"/>
            </w:pPr>
            <w:r/>
            <w:r>
              <w:rPr>
                <w:sz w:val="18"/>
              </w:rPr>
              <w:t>Dimension</w:t>
            </w:r>
          </w:p>
        </w:tc>
        <w:tc>
          <w:tcPr>
            <w:tcW w:type="dxa" w:w="3175"/>
            <w:shd w:val="clear" w:fill="F2F6FB"/>
          </w:tcPr>
          <w:p>
            <w:pPr>
              <w:spacing w:after="40" w:before="40"/>
            </w:pPr>
            <w:r/>
            <w:r>
              <w:rPr>
                <w:sz w:val="18"/>
              </w:rPr>
              <w:t>One row per ticket type</w:t>
            </w:r>
          </w:p>
        </w:tc>
        <w:tc>
          <w:tcPr>
            <w:tcW w:type="dxa" w:w="907"/>
            <w:shd w:val="clear" w:fill="F2F6FB"/>
          </w:tcPr>
          <w:p>
            <w:pPr>
              <w:spacing w:after="40" w:before="40"/>
              <w:jc w:val="right"/>
            </w:pPr>
            <w:r/>
            <w:r>
              <w:rPr>
                <w:sz w:val="18"/>
              </w:rPr>
              <w:t>6</w:t>
            </w:r>
          </w:p>
        </w:tc>
      </w:tr>
      <w:tr>
        <w:tc>
          <w:tcPr>
            <w:tcW w:type="dxa" w:w="2835"/>
          </w:tcPr>
          <w:p>
            <w:pPr>
              <w:spacing w:after="40" w:before="40"/>
            </w:pPr>
            <w:r/>
            <w:r>
              <w:rPr>
                <w:sz w:val="18"/>
              </w:rPr>
              <w:t>dim_ticket_status</w:t>
            </w:r>
          </w:p>
        </w:tc>
        <w:tc>
          <w:tcPr>
            <w:tcW w:type="dxa" w:w="2494"/>
          </w:tcPr>
          <w:p>
            <w:pPr>
              <w:spacing w:after="40" w:before="40"/>
            </w:pPr>
            <w:r/>
            <w:r>
              <w:rPr>
                <w:sz w:val="18"/>
              </w:rPr>
              <w:t>Dimension</w:t>
            </w:r>
          </w:p>
        </w:tc>
        <w:tc>
          <w:tcPr>
            <w:tcW w:type="dxa" w:w="3175"/>
          </w:tcPr>
          <w:p>
            <w:pPr>
              <w:spacing w:after="40" w:before="40"/>
            </w:pPr>
            <w:r/>
            <w:r>
              <w:rPr>
                <w:sz w:val="18"/>
              </w:rPr>
              <w:t>One row per ticket status</w:t>
            </w:r>
          </w:p>
        </w:tc>
        <w:tc>
          <w:tcPr>
            <w:tcW w:type="dxa" w:w="907"/>
          </w:tcPr>
          <w:p>
            <w:pPr>
              <w:spacing w:after="40" w:before="40"/>
              <w:jc w:val="right"/>
            </w:pPr>
            <w:r/>
            <w:r>
              <w:rPr>
                <w:sz w:val="18"/>
              </w:rPr>
              <w:t>4</w:t>
            </w:r>
          </w:p>
        </w:tc>
      </w:tr>
      <w:tr>
        <w:tc>
          <w:tcPr>
            <w:tcW w:type="dxa" w:w="2835"/>
            <w:shd w:val="clear" w:fill="F2F6FB"/>
          </w:tcPr>
          <w:p>
            <w:pPr>
              <w:spacing w:after="40" w:before="40"/>
            </w:pPr>
            <w:r/>
            <w:r>
              <w:rPr>
                <w:sz w:val="18"/>
              </w:rPr>
              <w:t>fct_merchant_sales</w:t>
            </w:r>
          </w:p>
        </w:tc>
        <w:tc>
          <w:tcPr>
            <w:tcW w:type="dxa" w:w="2494"/>
            <w:shd w:val="clear" w:fill="F2F6FB"/>
          </w:tcPr>
          <w:p>
            <w:pPr>
              <w:spacing w:after="40" w:before="40"/>
            </w:pPr>
            <w:r/>
            <w:r>
              <w:rPr>
                <w:sz w:val="18"/>
              </w:rPr>
              <w:t>Fact (transaction)</w:t>
            </w:r>
          </w:p>
        </w:tc>
        <w:tc>
          <w:tcPr>
            <w:tcW w:type="dxa" w:w="3175"/>
            <w:shd w:val="clear" w:fill="F2F6FB"/>
          </w:tcPr>
          <w:p>
            <w:pPr>
              <w:spacing w:after="40" w:before="40"/>
            </w:pPr>
            <w:r/>
            <w:r>
              <w:rPr>
                <w:sz w:val="18"/>
              </w:rPr>
              <w:t>Date × Merchant × VoucherType</w:t>
            </w:r>
          </w:p>
        </w:tc>
        <w:tc>
          <w:tcPr>
            <w:tcW w:type="dxa" w:w="907"/>
            <w:shd w:val="clear" w:fill="F2F6FB"/>
          </w:tcPr>
          <w:p>
            <w:pPr>
              <w:spacing w:after="40" w:before="40"/>
              <w:jc w:val="right"/>
            </w:pPr>
            <w:r/>
            <w:r>
              <w:rPr>
                <w:sz w:val="18"/>
              </w:rPr>
              <w:t>26,500</w:t>
            </w:r>
          </w:p>
        </w:tc>
      </w:tr>
      <w:tr>
        <w:tc>
          <w:tcPr>
            <w:tcW w:type="dxa" w:w="2835"/>
          </w:tcPr>
          <w:p>
            <w:pPr>
              <w:spacing w:after="40" w:before="40"/>
            </w:pPr>
            <w:r/>
            <w:r>
              <w:rPr>
                <w:sz w:val="18"/>
              </w:rPr>
              <w:t>fct_voucher_redemptions</w:t>
            </w:r>
          </w:p>
        </w:tc>
        <w:tc>
          <w:tcPr>
            <w:tcW w:type="dxa" w:w="2494"/>
          </w:tcPr>
          <w:p>
            <w:pPr>
              <w:spacing w:after="40" w:before="40"/>
            </w:pPr>
            <w:r/>
            <w:r>
              <w:rPr>
                <w:sz w:val="18"/>
              </w:rPr>
              <w:t>Fact (accumulating snapshot)</w:t>
            </w:r>
          </w:p>
        </w:tc>
        <w:tc>
          <w:tcPr>
            <w:tcW w:type="dxa" w:w="3175"/>
          </w:tcPr>
          <w:p>
            <w:pPr>
              <w:spacing w:after="40" w:before="40"/>
            </w:pPr>
            <w:r/>
            <w:r>
              <w:rPr>
                <w:sz w:val="18"/>
              </w:rPr>
              <w:t>One row per voucher</w:t>
            </w:r>
          </w:p>
        </w:tc>
        <w:tc>
          <w:tcPr>
            <w:tcW w:type="dxa" w:w="907"/>
          </w:tcPr>
          <w:p>
            <w:pPr>
              <w:spacing w:after="40" w:before="40"/>
              <w:jc w:val="right"/>
            </w:pPr>
            <w:r/>
            <w:r>
              <w:rPr>
                <w:sz w:val="18"/>
              </w:rPr>
              <w:t>120,969</w:t>
            </w:r>
          </w:p>
        </w:tc>
      </w:tr>
      <w:tr>
        <w:tc>
          <w:tcPr>
            <w:tcW w:type="dxa" w:w="2835"/>
            <w:shd w:val="clear" w:fill="F2F6FB"/>
          </w:tcPr>
          <w:p>
            <w:pPr>
              <w:spacing w:after="40" w:before="40"/>
            </w:pPr>
            <w:r/>
            <w:r>
              <w:rPr>
                <w:sz w:val="18"/>
              </w:rPr>
              <w:t>fct_support_tickets</w:t>
            </w:r>
          </w:p>
        </w:tc>
        <w:tc>
          <w:tcPr>
            <w:tcW w:type="dxa" w:w="2494"/>
            <w:shd w:val="clear" w:fill="F2F6FB"/>
          </w:tcPr>
          <w:p>
            <w:pPr>
              <w:spacing w:after="40" w:before="40"/>
            </w:pPr>
            <w:r/>
            <w:r>
              <w:rPr>
                <w:sz w:val="18"/>
              </w:rPr>
              <w:t>Fact (transaction)</w:t>
            </w:r>
          </w:p>
        </w:tc>
        <w:tc>
          <w:tcPr>
            <w:tcW w:type="dxa" w:w="3175"/>
            <w:shd w:val="clear" w:fill="F2F6FB"/>
          </w:tcPr>
          <w:p>
            <w:pPr>
              <w:spacing w:after="40" w:before="40"/>
            </w:pPr>
            <w:r/>
            <w:r>
              <w:rPr>
                <w:sz w:val="18"/>
              </w:rPr>
              <w:t>One row per ticket</w:t>
            </w:r>
          </w:p>
        </w:tc>
        <w:tc>
          <w:tcPr>
            <w:tcW w:type="dxa" w:w="907"/>
            <w:shd w:val="clear" w:fill="F2F6FB"/>
          </w:tcPr>
          <w:p>
            <w:pPr>
              <w:spacing w:after="40" w:before="40"/>
              <w:jc w:val="right"/>
            </w:pPr>
            <w:r/>
            <w:r>
              <w:rPr>
                <w:sz w:val="18"/>
              </w:rPr>
              <w:t>1,363</w:t>
            </w:r>
          </w:p>
        </w:tc>
      </w:tr>
      <w:tr>
        <w:tc>
          <w:tcPr>
            <w:tcW w:type="dxa" w:w="2835"/>
          </w:tcPr>
          <w:p>
            <w:pPr>
              <w:spacing w:after="40" w:before="40"/>
            </w:pPr>
            <w:r/>
            <w:r>
              <w:rPr>
                <w:sz w:val="18"/>
              </w:rPr>
              <w:t>fct_merchant_target</w:t>
            </w:r>
          </w:p>
        </w:tc>
        <w:tc>
          <w:tcPr>
            <w:tcW w:type="dxa" w:w="2494"/>
          </w:tcPr>
          <w:p>
            <w:pPr>
              <w:spacing w:after="40" w:before="40"/>
            </w:pPr>
            <w:r/>
            <w:r>
              <w:rPr>
                <w:sz w:val="18"/>
              </w:rPr>
              <w:t>Fact (periodic snapshot)</w:t>
            </w:r>
          </w:p>
        </w:tc>
        <w:tc>
          <w:tcPr>
            <w:tcW w:type="dxa" w:w="3175"/>
          </w:tcPr>
          <w:p>
            <w:pPr>
              <w:spacing w:after="40" w:before="40"/>
            </w:pPr>
            <w:r/>
            <w:r>
              <w:rPr>
                <w:sz w:val="18"/>
              </w:rPr>
              <w:t>Month × Merchant</w:t>
            </w:r>
          </w:p>
        </w:tc>
        <w:tc>
          <w:tcPr>
            <w:tcW w:type="dxa" w:w="907"/>
          </w:tcPr>
          <w:p>
            <w:pPr>
              <w:spacing w:after="40" w:before="40"/>
              <w:jc w:val="right"/>
            </w:pPr>
            <w:r/>
            <w:r>
              <w:rPr>
                <w:sz w:val="18"/>
              </w:rPr>
              <w:t>175</w:t>
            </w:r>
          </w:p>
        </w:tc>
      </w:tr>
      <w:tr>
        <w:tc>
          <w:tcPr>
            <w:tcW w:type="dxa" w:w="2835"/>
            <w:shd w:val="clear" w:fill="F2F6FB"/>
          </w:tcPr>
          <w:p>
            <w:pPr>
              <w:spacing w:after="40" w:before="40"/>
            </w:pPr>
            <w:r/>
            <w:r>
              <w:rPr>
                <w:sz w:val="18"/>
              </w:rPr>
              <w:t>mart_merchant_scorecard</w:t>
            </w:r>
          </w:p>
        </w:tc>
        <w:tc>
          <w:tcPr>
            <w:tcW w:type="dxa" w:w="2494"/>
            <w:shd w:val="clear" w:fill="F2F6FB"/>
          </w:tcPr>
          <w:p>
            <w:pPr>
              <w:spacing w:after="40" w:before="40"/>
            </w:pPr>
            <w:r/>
            <w:r>
              <w:rPr>
                <w:sz w:val="18"/>
              </w:rPr>
              <w:t>Analytics mart</w:t>
            </w:r>
          </w:p>
        </w:tc>
        <w:tc>
          <w:tcPr>
            <w:tcW w:type="dxa" w:w="3175"/>
            <w:shd w:val="clear" w:fill="F2F6FB"/>
          </w:tcPr>
          <w:p>
            <w:pPr>
              <w:spacing w:after="40" w:before="40"/>
            </w:pPr>
            <w:r/>
            <w:r>
              <w:rPr>
                <w:sz w:val="18"/>
              </w:rPr>
              <w:t>One row per merchant</w:t>
            </w:r>
          </w:p>
        </w:tc>
        <w:tc>
          <w:tcPr>
            <w:tcW w:type="dxa" w:w="907"/>
            <w:shd w:val="clear" w:fill="F2F6FB"/>
          </w:tcPr>
          <w:p>
            <w:pPr>
              <w:spacing w:after="40" w:before="40"/>
              <w:jc w:val="right"/>
            </w:pPr>
            <w:r/>
            <w:r>
              <w:rPr>
                <w:sz w:val="18"/>
              </w:rPr>
              <w:t>25</w:t>
            </w:r>
          </w:p>
        </w:tc>
      </w:tr>
    </w:tbl>
    <w:p>
      <w:pPr>
        <w:spacing w:after="80"/>
      </w:pPr>
    </w:p>
    <w:p>
      <w:pPr>
        <w:pStyle w:val="Heading2"/>
      </w:pPr>
      <w:r>
        <w:t>Entity relationships</w:t>
      </w:r>
    </w:p>
    <w:p>
      <w:pPr>
        <w:spacing w:after="140" w:before="0"/>
      </w:pPr>
      <w:r>
        <w:rPr>
          <w:b w:val="0"/>
          <w:i w:val="0"/>
          <w:sz w:val="21"/>
        </w:rPr>
        <w:t>Generated from the dbt manifest, not drawn. dbt docs shows the DAG — which model BUILDS from which — and that is build lineage, not entity relationships: it cannot show that fct_support_tickets.priority_key joins to dim_priority, because the fact is built from staging, not from the dimension. The real foreign keys live in the schema tests. Every relationships test is an enforced statement that a column must resolve to another column, so this diagram cannot drift — drop a join and the test disappears with it.</w:t>
      </w:r>
    </w:p>
    <w:tbl>
      <w:tblPr>
        <w:tblStyle w:val="TableGrid"/>
        <w:tblW w:type="auto" w:w="0"/>
        <w:jc w:val="center"/>
        <w:tblLook w:firstColumn="1" w:firstRow="1" w:lastColumn="0" w:lastRow="0" w:noHBand="0" w:noVBand="1" w:val="04A0"/>
      </w:tblPr>
      <w:tblGrid>
        <w:gridCol w:w="3175"/>
        <w:gridCol w:w="3175"/>
        <w:gridCol w:w="3175"/>
      </w:tblGrid>
      <w:tr>
        <w:tc>
          <w:tcPr>
            <w:tcW w:type="dxa" w:w="2835"/>
            <w:shd w:val="clear" w:fill="12305B"/>
          </w:tcPr>
          <w:p>
            <w:pPr>
              <w:spacing w:after="40" w:before="40"/>
            </w:pPr>
            <w:r/>
            <w:r>
              <w:rPr>
                <w:b/>
                <w:color w:val="FFFFFF"/>
                <w:sz w:val="17"/>
              </w:rPr>
              <w:t>From</w:t>
            </w:r>
          </w:p>
        </w:tc>
        <w:tc>
          <w:tcPr>
            <w:tcW w:type="dxa" w:w="3515"/>
            <w:shd w:val="clear" w:fill="12305B"/>
          </w:tcPr>
          <w:p>
            <w:pPr>
              <w:spacing w:after="40" w:before="40"/>
            </w:pPr>
            <w:r/>
            <w:r>
              <w:rPr>
                <w:b/>
                <w:color w:val="FFFFFF"/>
                <w:sz w:val="17"/>
              </w:rPr>
              <w:t>Column</w:t>
            </w:r>
          </w:p>
        </w:tc>
        <w:tc>
          <w:tcPr>
            <w:tcW w:type="dxa" w:w="3061"/>
            <w:shd w:val="clear" w:fill="12305B"/>
          </w:tcPr>
          <w:p>
            <w:pPr>
              <w:spacing w:after="40" w:before="40"/>
            </w:pPr>
            <w:r/>
            <w:r>
              <w:rPr>
                <w:b/>
                <w:color w:val="FFFFFF"/>
                <w:sz w:val="17"/>
              </w:rPr>
              <w:t>To</w:t>
            </w:r>
          </w:p>
        </w:tc>
      </w:tr>
      <w:tr>
        <w:tc>
          <w:tcPr>
            <w:tcW w:type="dxa" w:w="2835"/>
          </w:tcPr>
          <w:p>
            <w:pPr>
              <w:spacing w:after="40" w:before="40"/>
            </w:pPr>
            <w:r/>
            <w:r>
              <w:rPr>
                <w:sz w:val="17"/>
              </w:rPr>
              <w:t>fct_merchant_sales</w:t>
            </w:r>
          </w:p>
        </w:tc>
        <w:tc>
          <w:tcPr>
            <w:tcW w:type="dxa" w:w="3515"/>
          </w:tcPr>
          <w:p>
            <w:pPr>
              <w:spacing w:after="40" w:before="40"/>
            </w:pPr>
            <w:r/>
            <w:r>
              <w:rPr>
                <w:sz w:val="17"/>
              </w:rPr>
              <w:t>date_key</w:t>
            </w:r>
          </w:p>
        </w:tc>
        <w:tc>
          <w:tcPr>
            <w:tcW w:type="dxa" w:w="3061"/>
          </w:tcPr>
          <w:p>
            <w:pPr>
              <w:spacing w:after="40" w:before="40"/>
            </w:pPr>
            <w:r/>
            <w:r>
              <w:rPr>
                <w:sz w:val="17"/>
              </w:rPr>
              <w:t>dim_date</w:t>
            </w:r>
          </w:p>
        </w:tc>
      </w:tr>
      <w:tr>
        <w:tc>
          <w:tcPr>
            <w:tcW w:type="dxa" w:w="2835"/>
            <w:shd w:val="clear" w:fill="F2F6FB"/>
          </w:tcPr>
          <w:p>
            <w:pPr>
              <w:spacing w:after="40" w:before="40"/>
            </w:pPr>
            <w:r/>
            <w:r>
              <w:rPr>
                <w:sz w:val="17"/>
              </w:rPr>
              <w:t>fct_merchant_sales</w:t>
            </w:r>
          </w:p>
        </w:tc>
        <w:tc>
          <w:tcPr>
            <w:tcW w:type="dxa" w:w="3515"/>
            <w:shd w:val="clear" w:fill="F2F6FB"/>
          </w:tcPr>
          <w:p>
            <w:pPr>
              <w:spacing w:after="40" w:before="40"/>
            </w:pPr>
            <w:r/>
            <w:r>
              <w:rPr>
                <w:sz w:val="17"/>
              </w:rPr>
              <w:t>merchant_key</w:t>
            </w:r>
          </w:p>
        </w:tc>
        <w:tc>
          <w:tcPr>
            <w:tcW w:type="dxa" w:w="3061"/>
            <w:shd w:val="clear" w:fill="F2F6FB"/>
          </w:tcPr>
          <w:p>
            <w:pPr>
              <w:spacing w:after="40" w:before="40"/>
            </w:pPr>
            <w:r/>
            <w:r>
              <w:rPr>
                <w:sz w:val="17"/>
              </w:rPr>
              <w:t>dim_merchant</w:t>
            </w:r>
          </w:p>
        </w:tc>
      </w:tr>
      <w:tr>
        <w:tc>
          <w:tcPr>
            <w:tcW w:type="dxa" w:w="2835"/>
          </w:tcPr>
          <w:p>
            <w:pPr>
              <w:spacing w:after="40" w:before="40"/>
            </w:pPr>
            <w:r/>
            <w:r>
              <w:rPr>
                <w:sz w:val="17"/>
              </w:rPr>
              <w:t>fct_merchant_sales</w:t>
            </w:r>
          </w:p>
        </w:tc>
        <w:tc>
          <w:tcPr>
            <w:tcW w:type="dxa" w:w="3515"/>
          </w:tcPr>
          <w:p>
            <w:pPr>
              <w:spacing w:after="40" w:before="40"/>
            </w:pPr>
            <w:r/>
            <w:r>
              <w:rPr>
                <w:sz w:val="17"/>
              </w:rPr>
              <w:t>voucher_type_key</w:t>
            </w:r>
          </w:p>
        </w:tc>
        <w:tc>
          <w:tcPr>
            <w:tcW w:type="dxa" w:w="3061"/>
          </w:tcPr>
          <w:p>
            <w:pPr>
              <w:spacing w:after="40" w:before="40"/>
            </w:pPr>
            <w:r/>
            <w:r>
              <w:rPr>
                <w:sz w:val="17"/>
              </w:rPr>
              <w:t>dim_voucher_type</w:t>
            </w:r>
          </w:p>
        </w:tc>
      </w:tr>
      <w:tr>
        <w:tc>
          <w:tcPr>
            <w:tcW w:type="dxa" w:w="2835"/>
            <w:shd w:val="clear" w:fill="F2F6FB"/>
          </w:tcPr>
          <w:p>
            <w:pPr>
              <w:spacing w:after="40" w:before="40"/>
            </w:pPr>
            <w:r/>
            <w:r>
              <w:rPr>
                <w:sz w:val="17"/>
              </w:rPr>
              <w:t>fct_voucher_redemptions</w:t>
            </w:r>
          </w:p>
        </w:tc>
        <w:tc>
          <w:tcPr>
            <w:tcW w:type="dxa" w:w="3515"/>
            <w:shd w:val="clear" w:fill="F2F6FB"/>
          </w:tcPr>
          <w:p>
            <w:pPr>
              <w:spacing w:after="40" w:before="40"/>
            </w:pPr>
            <w:r/>
            <w:r>
              <w:rPr>
                <w:sz w:val="17"/>
              </w:rPr>
              <w:t>sold_date_key  (ACTIVE)</w:t>
            </w:r>
          </w:p>
        </w:tc>
        <w:tc>
          <w:tcPr>
            <w:tcW w:type="dxa" w:w="3061"/>
            <w:shd w:val="clear" w:fill="F2F6FB"/>
          </w:tcPr>
          <w:p>
            <w:pPr>
              <w:spacing w:after="40" w:before="40"/>
            </w:pPr>
            <w:r/>
            <w:r>
              <w:rPr>
                <w:sz w:val="17"/>
              </w:rPr>
              <w:t>dim_date</w:t>
            </w:r>
          </w:p>
        </w:tc>
      </w:tr>
      <w:tr>
        <w:tc>
          <w:tcPr>
            <w:tcW w:type="dxa" w:w="2835"/>
          </w:tcPr>
          <w:p>
            <w:pPr>
              <w:spacing w:after="40" w:before="40"/>
            </w:pPr>
            <w:r/>
            <w:r>
              <w:rPr>
                <w:sz w:val="17"/>
              </w:rPr>
              <w:t>fct_voucher_redemptions</w:t>
            </w:r>
          </w:p>
        </w:tc>
        <w:tc>
          <w:tcPr>
            <w:tcW w:type="dxa" w:w="3515"/>
          </w:tcPr>
          <w:p>
            <w:pPr>
              <w:spacing w:after="40" w:before="40"/>
            </w:pPr>
            <w:r/>
            <w:r>
              <w:rPr>
                <w:sz w:val="17"/>
              </w:rPr>
              <w:t>redeemed_date_key  (INACTIVE)</w:t>
            </w:r>
          </w:p>
        </w:tc>
        <w:tc>
          <w:tcPr>
            <w:tcW w:type="dxa" w:w="3061"/>
          </w:tcPr>
          <w:p>
            <w:pPr>
              <w:spacing w:after="40" w:before="40"/>
            </w:pPr>
            <w:r/>
            <w:r>
              <w:rPr>
                <w:sz w:val="17"/>
              </w:rPr>
              <w:t>dim_date</w:t>
            </w:r>
          </w:p>
        </w:tc>
      </w:tr>
      <w:tr>
        <w:tc>
          <w:tcPr>
            <w:tcW w:type="dxa" w:w="2835"/>
            <w:shd w:val="clear" w:fill="F2F6FB"/>
          </w:tcPr>
          <w:p>
            <w:pPr>
              <w:spacing w:after="40" w:before="40"/>
            </w:pPr>
            <w:r/>
            <w:r>
              <w:rPr>
                <w:sz w:val="17"/>
              </w:rPr>
              <w:t>fct_voucher_redemptions</w:t>
            </w:r>
          </w:p>
        </w:tc>
        <w:tc>
          <w:tcPr>
            <w:tcW w:type="dxa" w:w="3515"/>
            <w:shd w:val="clear" w:fill="F2F6FB"/>
          </w:tcPr>
          <w:p>
            <w:pPr>
              <w:spacing w:after="40" w:before="40"/>
            </w:pPr>
            <w:r/>
            <w:r>
              <w:rPr>
                <w:sz w:val="17"/>
              </w:rPr>
              <w:t>merchant_key</w:t>
            </w:r>
          </w:p>
        </w:tc>
        <w:tc>
          <w:tcPr>
            <w:tcW w:type="dxa" w:w="3061"/>
            <w:shd w:val="clear" w:fill="F2F6FB"/>
          </w:tcPr>
          <w:p>
            <w:pPr>
              <w:spacing w:after="40" w:before="40"/>
            </w:pPr>
            <w:r/>
            <w:r>
              <w:rPr>
                <w:sz w:val="17"/>
              </w:rPr>
              <w:t>dim_merchant</w:t>
            </w:r>
          </w:p>
        </w:tc>
      </w:tr>
      <w:tr>
        <w:tc>
          <w:tcPr>
            <w:tcW w:type="dxa" w:w="2835"/>
          </w:tcPr>
          <w:p>
            <w:pPr>
              <w:spacing w:after="40" w:before="40"/>
            </w:pPr>
            <w:r/>
            <w:r>
              <w:rPr>
                <w:sz w:val="17"/>
              </w:rPr>
              <w:t>fct_support_tickets</w:t>
            </w:r>
          </w:p>
        </w:tc>
        <w:tc>
          <w:tcPr>
            <w:tcW w:type="dxa" w:w="3515"/>
          </w:tcPr>
          <w:p>
            <w:pPr>
              <w:spacing w:after="40" w:before="40"/>
            </w:pPr>
            <w:r/>
            <w:r>
              <w:rPr>
                <w:sz w:val="17"/>
              </w:rPr>
              <w:t>date_key</w:t>
            </w:r>
          </w:p>
        </w:tc>
        <w:tc>
          <w:tcPr>
            <w:tcW w:type="dxa" w:w="3061"/>
          </w:tcPr>
          <w:p>
            <w:pPr>
              <w:spacing w:after="40" w:before="40"/>
            </w:pPr>
            <w:r/>
            <w:r>
              <w:rPr>
                <w:sz w:val="17"/>
              </w:rPr>
              <w:t>dim_date</w:t>
            </w:r>
          </w:p>
        </w:tc>
      </w:tr>
      <w:tr>
        <w:tc>
          <w:tcPr>
            <w:tcW w:type="dxa" w:w="2835"/>
            <w:shd w:val="clear" w:fill="F2F6FB"/>
          </w:tcPr>
          <w:p>
            <w:pPr>
              <w:spacing w:after="40" w:before="40"/>
            </w:pPr>
            <w:r/>
            <w:r>
              <w:rPr>
                <w:sz w:val="17"/>
              </w:rPr>
              <w:t>fct_support_tickets</w:t>
            </w:r>
          </w:p>
        </w:tc>
        <w:tc>
          <w:tcPr>
            <w:tcW w:type="dxa" w:w="3515"/>
            <w:shd w:val="clear" w:fill="F2F6FB"/>
          </w:tcPr>
          <w:p>
            <w:pPr>
              <w:spacing w:after="40" w:before="40"/>
            </w:pPr>
            <w:r/>
            <w:r>
              <w:rPr>
                <w:sz w:val="17"/>
              </w:rPr>
              <w:t>merchant_key</w:t>
            </w:r>
          </w:p>
        </w:tc>
        <w:tc>
          <w:tcPr>
            <w:tcW w:type="dxa" w:w="3061"/>
            <w:shd w:val="clear" w:fill="F2F6FB"/>
          </w:tcPr>
          <w:p>
            <w:pPr>
              <w:spacing w:after="40" w:before="40"/>
            </w:pPr>
            <w:r/>
            <w:r>
              <w:rPr>
                <w:sz w:val="17"/>
              </w:rPr>
              <w:t>dim_merchant</w:t>
            </w:r>
          </w:p>
        </w:tc>
      </w:tr>
      <w:tr>
        <w:tc>
          <w:tcPr>
            <w:tcW w:type="dxa" w:w="2835"/>
          </w:tcPr>
          <w:p>
            <w:pPr>
              <w:spacing w:after="40" w:before="40"/>
            </w:pPr>
            <w:r/>
            <w:r>
              <w:rPr>
                <w:sz w:val="17"/>
              </w:rPr>
              <w:t>fct_support_tickets</w:t>
            </w:r>
          </w:p>
        </w:tc>
        <w:tc>
          <w:tcPr>
            <w:tcW w:type="dxa" w:w="3515"/>
          </w:tcPr>
          <w:p>
            <w:pPr>
              <w:spacing w:after="40" w:before="40"/>
            </w:pPr>
            <w:r/>
            <w:r>
              <w:rPr>
                <w:sz w:val="17"/>
              </w:rPr>
              <w:t>ticket_type_key</w:t>
            </w:r>
          </w:p>
        </w:tc>
        <w:tc>
          <w:tcPr>
            <w:tcW w:type="dxa" w:w="3061"/>
          </w:tcPr>
          <w:p>
            <w:pPr>
              <w:spacing w:after="40" w:before="40"/>
            </w:pPr>
            <w:r/>
            <w:r>
              <w:rPr>
                <w:sz w:val="17"/>
              </w:rPr>
              <w:t>dim_ticket_type</w:t>
            </w:r>
          </w:p>
        </w:tc>
      </w:tr>
      <w:tr>
        <w:tc>
          <w:tcPr>
            <w:tcW w:type="dxa" w:w="2835"/>
            <w:shd w:val="clear" w:fill="F2F6FB"/>
          </w:tcPr>
          <w:p>
            <w:pPr>
              <w:spacing w:after="40" w:before="40"/>
            </w:pPr>
            <w:r/>
            <w:r>
              <w:rPr>
                <w:sz w:val="17"/>
              </w:rPr>
              <w:t>fct_support_tickets</w:t>
            </w:r>
          </w:p>
        </w:tc>
        <w:tc>
          <w:tcPr>
            <w:tcW w:type="dxa" w:w="3515"/>
            <w:shd w:val="clear" w:fill="F2F6FB"/>
          </w:tcPr>
          <w:p>
            <w:pPr>
              <w:spacing w:after="40" w:before="40"/>
            </w:pPr>
            <w:r/>
            <w:r>
              <w:rPr>
                <w:sz w:val="17"/>
              </w:rPr>
              <w:t>priority_key</w:t>
            </w:r>
          </w:p>
        </w:tc>
        <w:tc>
          <w:tcPr>
            <w:tcW w:type="dxa" w:w="3061"/>
            <w:shd w:val="clear" w:fill="F2F6FB"/>
          </w:tcPr>
          <w:p>
            <w:pPr>
              <w:spacing w:after="40" w:before="40"/>
            </w:pPr>
            <w:r/>
            <w:r>
              <w:rPr>
                <w:sz w:val="17"/>
              </w:rPr>
              <w:t>dim_priority</w:t>
            </w:r>
          </w:p>
        </w:tc>
      </w:tr>
      <w:tr>
        <w:tc>
          <w:tcPr>
            <w:tcW w:type="dxa" w:w="2835"/>
          </w:tcPr>
          <w:p>
            <w:pPr>
              <w:spacing w:after="40" w:before="40"/>
            </w:pPr>
            <w:r/>
            <w:r>
              <w:rPr>
                <w:sz w:val="17"/>
              </w:rPr>
              <w:t>fct_support_tickets</w:t>
            </w:r>
          </w:p>
        </w:tc>
        <w:tc>
          <w:tcPr>
            <w:tcW w:type="dxa" w:w="3515"/>
          </w:tcPr>
          <w:p>
            <w:pPr>
              <w:spacing w:after="40" w:before="40"/>
            </w:pPr>
            <w:r/>
            <w:r>
              <w:rPr>
                <w:sz w:val="17"/>
              </w:rPr>
              <w:t>status_key</w:t>
            </w:r>
          </w:p>
        </w:tc>
        <w:tc>
          <w:tcPr>
            <w:tcW w:type="dxa" w:w="3061"/>
          </w:tcPr>
          <w:p>
            <w:pPr>
              <w:spacing w:after="40" w:before="40"/>
            </w:pPr>
            <w:r/>
            <w:r>
              <w:rPr>
                <w:sz w:val="17"/>
              </w:rPr>
              <w:t>dim_ticket_status</w:t>
            </w:r>
          </w:p>
        </w:tc>
      </w:tr>
      <w:tr>
        <w:tc>
          <w:tcPr>
            <w:tcW w:type="dxa" w:w="2835"/>
            <w:shd w:val="clear" w:fill="F2F6FB"/>
          </w:tcPr>
          <w:p>
            <w:pPr>
              <w:spacing w:after="40" w:before="40"/>
            </w:pPr>
            <w:r/>
            <w:r>
              <w:rPr>
                <w:sz w:val="17"/>
              </w:rPr>
              <w:t>fct_merchant_target</w:t>
            </w:r>
          </w:p>
        </w:tc>
        <w:tc>
          <w:tcPr>
            <w:tcW w:type="dxa" w:w="3515"/>
            <w:shd w:val="clear" w:fill="F2F6FB"/>
          </w:tcPr>
          <w:p>
            <w:pPr>
              <w:spacing w:after="40" w:before="40"/>
            </w:pPr>
            <w:r/>
            <w:r>
              <w:rPr>
                <w:sz w:val="17"/>
              </w:rPr>
              <w:t>date_key</w:t>
            </w:r>
          </w:p>
        </w:tc>
        <w:tc>
          <w:tcPr>
            <w:tcW w:type="dxa" w:w="3061"/>
            <w:shd w:val="clear" w:fill="F2F6FB"/>
          </w:tcPr>
          <w:p>
            <w:pPr>
              <w:spacing w:after="40" w:before="40"/>
            </w:pPr>
            <w:r/>
            <w:r>
              <w:rPr>
                <w:sz w:val="17"/>
              </w:rPr>
              <w:t>dim_date</w:t>
            </w:r>
          </w:p>
        </w:tc>
      </w:tr>
      <w:tr>
        <w:tc>
          <w:tcPr>
            <w:tcW w:type="dxa" w:w="2835"/>
          </w:tcPr>
          <w:p>
            <w:pPr>
              <w:spacing w:after="40" w:before="40"/>
            </w:pPr>
            <w:r/>
            <w:r>
              <w:rPr>
                <w:sz w:val="17"/>
              </w:rPr>
              <w:t>fct_merchant_target</w:t>
            </w:r>
          </w:p>
        </w:tc>
        <w:tc>
          <w:tcPr>
            <w:tcW w:type="dxa" w:w="3515"/>
          </w:tcPr>
          <w:p>
            <w:pPr>
              <w:spacing w:after="40" w:before="40"/>
            </w:pPr>
            <w:r/>
            <w:r>
              <w:rPr>
                <w:sz w:val="17"/>
              </w:rPr>
              <w:t>merchant_key</w:t>
            </w:r>
          </w:p>
        </w:tc>
        <w:tc>
          <w:tcPr>
            <w:tcW w:type="dxa" w:w="3061"/>
          </w:tcPr>
          <w:p>
            <w:pPr>
              <w:spacing w:after="40" w:before="40"/>
            </w:pPr>
            <w:r/>
            <w:r>
              <w:rPr>
                <w:sz w:val="17"/>
              </w:rPr>
              <w:t>dim_merchant</w:t>
            </w:r>
          </w:p>
        </w:tc>
      </w:tr>
      <w:tr>
        <w:tc>
          <w:tcPr>
            <w:tcW w:type="dxa" w:w="2835"/>
            <w:shd w:val="clear" w:fill="F2F6FB"/>
          </w:tcPr>
          <w:p>
            <w:pPr>
              <w:spacing w:after="40" w:before="40"/>
            </w:pPr>
            <w:r/>
            <w:r>
              <w:rPr>
                <w:sz w:val="17"/>
              </w:rPr>
              <w:t>dim_merchant_history</w:t>
            </w:r>
          </w:p>
        </w:tc>
        <w:tc>
          <w:tcPr>
            <w:tcW w:type="dxa" w:w="3515"/>
            <w:shd w:val="clear" w:fill="F2F6FB"/>
          </w:tcPr>
          <w:p>
            <w:pPr>
              <w:spacing w:after="40" w:before="40"/>
            </w:pPr>
            <w:r/>
            <w:r>
              <w:rPr>
                <w:sz w:val="17"/>
              </w:rPr>
              <w:t>merchant_key</w:t>
            </w:r>
          </w:p>
        </w:tc>
        <w:tc>
          <w:tcPr>
            <w:tcW w:type="dxa" w:w="3061"/>
            <w:shd w:val="clear" w:fill="F2F6FB"/>
          </w:tcPr>
          <w:p>
            <w:pPr>
              <w:spacing w:after="40" w:before="40"/>
            </w:pPr>
            <w:r/>
            <w:r>
              <w:rPr>
                <w:sz w:val="17"/>
              </w:rPr>
              <w:t>dim_merchant</w:t>
            </w:r>
          </w:p>
        </w:tc>
      </w:tr>
      <w:tr>
        <w:tc>
          <w:tcPr>
            <w:tcW w:type="dxa" w:w="2835"/>
          </w:tcPr>
          <w:p>
            <w:pPr>
              <w:spacing w:after="40" w:before="40"/>
            </w:pPr>
            <w:r/>
            <w:r>
              <w:rPr>
                <w:sz w:val="17"/>
              </w:rPr>
              <w:t>mart_merchant_scorecard</w:t>
            </w:r>
          </w:p>
        </w:tc>
        <w:tc>
          <w:tcPr>
            <w:tcW w:type="dxa" w:w="3515"/>
          </w:tcPr>
          <w:p>
            <w:pPr>
              <w:spacing w:after="40" w:before="40"/>
            </w:pPr>
            <w:r/>
            <w:r>
              <w:rPr>
                <w:sz w:val="17"/>
              </w:rPr>
              <w:t>merchant_key</w:t>
            </w:r>
          </w:p>
        </w:tc>
        <w:tc>
          <w:tcPr>
            <w:tcW w:type="dxa" w:w="3061"/>
          </w:tcPr>
          <w:p>
            <w:pPr>
              <w:spacing w:after="40" w:before="40"/>
            </w:pPr>
            <w:r/>
            <w:r>
              <w:rPr>
                <w:sz w:val="17"/>
              </w:rPr>
              <w:t>dim_merchant</w:t>
            </w:r>
          </w:p>
        </w:tc>
      </w:tr>
    </w:tbl>
    <w:p>
      <w:pPr>
        <w:spacing w:after="80"/>
      </w:pPr>
    </w:p>
    <w:p>
      <w:pPr>
        <w:spacing w:after="140" w:before="0"/>
      </w:pPr>
      <w:r>
        <w:rPr>
          <w:b w:val="0"/>
          <w:i/>
          <w:color w:val="5A6672"/>
          <w:sz w:val="18"/>
        </w:rPr>
        <w:t>15 enforced foreign keys. Note fct_voucher_redemptions carries TWO into dim_date — the role-playing date that makes a redemption backlog visible.</w:t>
      </w:r>
    </w:p>
    <w:p>
      <w:pPr>
        <w:pStyle w:val="Heading2"/>
      </w:pPr>
      <w:r>
        <w:t>Modelling decisions worth defending</w:t>
      </w:r>
    </w:p>
    <w:p>
      <w:pPr>
        <w:spacing w:after="140"/>
      </w:pPr>
      <w:r>
        <w:rPr>
          <w:b/>
          <w:color w:val="0E8B8B"/>
          <w:sz w:val="21"/>
        </w:rPr>
        <w:t xml:space="preserve">Role-playing dates on the redemption fact. </w:t>
      </w:r>
      <w:r>
        <w:rPr>
          <w:b w:val="0"/>
          <w:sz w:val="21"/>
        </w:rPr>
        <w:t>A voucher has two events — sold and redeemed — so the fact carries both sold_date_key and redeemed_date_key. In the semantic model, dim_date joins sold_date_key on the ACTIVE relationship and redeemed_date_key on an INACTIVE one, activated inside specific measures via USERELATIONSHIP. This is the single most common place a voucher model goes wrong: reporting redemptions on the sale date attributes late redemptions back to the month of issue, which makes a redemption backlog completely invisible.</w:t>
      </w:r>
    </w:p>
    <w:p>
      <w:pPr>
        <w:spacing w:after="140"/>
      </w:pPr>
      <w:r>
        <w:rPr>
          <w:b/>
          <w:color w:val="0E8B8B"/>
          <w:sz w:val="21"/>
        </w:rPr>
        <w:t xml:space="preserve">Descriptive attributes dropped from the facts. </w:t>
      </w:r>
      <w:r>
        <w:rPr>
          <w:b w:val="0"/>
          <w:sz w:val="21"/>
        </w:rPr>
        <w:t>Merchant, Region and Channel appear on both the sales fact and MerchantReference. Profiling confirmed 100% agreement across every row, so they were dropped from the facts — losslessly. Keeping them would allow two competing versions of 'Region' to exist in the model, which is how a report ends up with two different regional totals on two different pages.</w:t>
      </w:r>
    </w:p>
    <w:p>
      <w:pPr>
        <w:spacing w:after="140"/>
      </w:pPr>
      <w:r>
        <w:rPr>
          <w:b/>
          <w:color w:val="0E8B8B"/>
          <w:sz w:val="21"/>
        </w:rPr>
        <w:t xml:space="preserve">SLA hours stored on the fact, not resolved from the dimension. </w:t>
      </w:r>
      <w:r>
        <w:rPr>
          <w:b w:val="0"/>
          <w:sz w:val="21"/>
        </w:rPr>
        <w:t>They agree today. But a future SLA policy change must not retrospectively restate whether a historic ticket breached — a ticket is judged against the SLA in force when it was raised. dim_priority.target_sla_hours therefore describes CURRENT policy, and the fact records what was actually promised at the time.</w:t>
      </w:r>
    </w:p>
    <w:p>
      <w:pPr>
        <w:spacing w:after="140"/>
      </w:pPr>
      <w:r>
        <w:rPr>
          <w:b/>
          <w:color w:val="0E8B8B"/>
          <w:sz w:val="21"/>
        </w:rPr>
        <w:t xml:space="preserve">Targets in a separate fact at month grain. </w:t>
      </w:r>
      <w:r>
        <w:rPr>
          <w:b w:val="0"/>
          <w:sz w:val="21"/>
        </w:rPr>
        <w:t>fct_merchant_target is a periodic snapshot at a coarser grain than the daily sales fact. Forcing a monthly target into a daily fact would break every additive measure. The two facts join only through shared dimensions, which is the standard Kimball answer to multi-grain reporting. Targets are pro-rated by days covered so a part-month never shows a false shortfall.</w:t>
      </w:r>
    </w:p>
    <w:p>
      <w:pPr>
        <w:spacing w:after="140"/>
      </w:pPr>
      <w:r>
        <w:rPr>
          <w:b/>
          <w:color w:val="0E8B8B"/>
          <w:sz w:val="21"/>
        </w:rPr>
        <w:t xml:space="preserve">An Unknown (-1) dimension member. </w:t>
      </w:r>
      <w:r>
        <w:rPr>
          <w:b w:val="0"/>
          <w:sz w:val="21"/>
        </w:rPr>
        <w:t>Emitted deliberately so a future fact row with an unmatched merchant lands somewhere visible in the report rather than silently disappearing from every total.</w:t>
      </w:r>
    </w:p>
    <w:p>
      <w:pPr>
        <w:spacing w:after="140"/>
      </w:pPr>
      <w:r>
        <w:rPr>
          <w:b/>
          <w:color w:val="0E8B8B"/>
          <w:sz w:val="21"/>
        </w:rPr>
        <w:t xml:space="preserve">Both a Type 1 and a Type 2 merchant dimension. </w:t>
      </w:r>
      <w:r>
        <w:rPr>
          <w:b w:val="0"/>
          <w:sz w:val="21"/>
        </w:rPr>
        <w:t>dim_merchant is current state and is what the semantic model joins to — 'show me sales for merchants CURRENTLY in Gauteng' is what a regional manager asking about their own patch actually means. dim_merchant_history is versioned and answers point-in-time questions: 'what were sales for merchants that were in Gauteng AT THE TIME'. Loading only the Type 2 version and forcing every query through a date-range join would be technically purer and practically worse; loading only Type 1 loses history permanently. Both, clearly labelled, is the workable answer.</w:t>
      </w:r>
    </w:p>
    <w:p>
      <w:pPr>
        <w:spacing w:after="140"/>
      </w:pPr>
      <w:r>
        <w:rPr>
          <w:b/>
          <w:color w:val="0E8B8B"/>
          <w:sz w:val="21"/>
        </w:rPr>
        <w:t xml:space="preserve">Diagnostics carried in the dimension, not just the report. </w:t>
      </w:r>
      <w:r>
        <w:rPr>
          <w:b w:val="0"/>
          <w:sz w:val="21"/>
        </w:rPr>
        <w:t>dim_priority stores the observed median and 90th-percentile resolution time next to the target SLA, and derives sla_is_achievable from them. The SLA finding is therefore data rather than prose: Critical carries a 12-hour target against a 74-hour 90th percentile, and the model says so directly. A reader can sort on it; they cannot sort on a paragraph.</w:t>
      </w:r>
    </w:p>
    <w:p>
      <w:r>
        <w:br w:type="page"/>
      </w:r>
    </w:p>
    <w:p>
      <w:pPr>
        <w:pStyle w:val="Heading1"/>
      </w:pPr>
      <w:r>
        <w:t>4. Transformation layer</w:t>
      </w:r>
    </w:p>
    <w:p>
      <w:pPr>
        <w:pStyle w:val="Heading2"/>
      </w:pPr>
      <w:r>
        <w:t>Business rules, defined once</w:t>
      </w:r>
    </w:p>
    <w:p>
      <w:pPr>
        <w:spacing w:after="140" w:before="0"/>
      </w:pPr>
      <w:r>
        <w:rPr>
          <w:b w:val="0"/>
          <w:i w:val="0"/>
          <w:sz w:val="21"/>
        </w:rPr>
        <w:t>Every threshold lives in a single place (dbt_project.yml vars) and is inherited by the SQL models, the PySpark notebooks and the DAX measure library. A change propagates consistently instead of being applied in three places and forgotten in a fourth.</w:t>
      </w:r>
    </w:p>
    <w:tbl>
      <w:tblPr>
        <w:tblStyle w:val="TableGrid"/>
        <w:tblW w:type="auto" w:w="0"/>
        <w:jc w:val="center"/>
        <w:tblLook w:firstColumn="1" w:firstRow="1" w:lastColumn="0" w:lastRow="0" w:noHBand="0" w:noVBand="1" w:val="04A0"/>
      </w:tblPr>
      <w:tblGrid>
        <w:gridCol w:w="3175"/>
        <w:gridCol w:w="3175"/>
        <w:gridCol w:w="3175"/>
      </w:tblGrid>
      <w:tr>
        <w:tc>
          <w:tcPr>
            <w:tcW w:type="dxa" w:w="2268"/>
            <w:shd w:val="clear" w:fill="12305B"/>
          </w:tcPr>
          <w:p>
            <w:pPr>
              <w:spacing w:after="40" w:before="40"/>
            </w:pPr>
            <w:r/>
            <w:r>
              <w:rPr>
                <w:b/>
                <w:color w:val="FFFFFF"/>
                <w:sz w:val="18"/>
              </w:rPr>
              <w:t>Rule</w:t>
            </w:r>
          </w:p>
        </w:tc>
        <w:tc>
          <w:tcPr>
            <w:tcW w:type="dxa" w:w="1928"/>
            <w:shd w:val="clear" w:fill="12305B"/>
          </w:tcPr>
          <w:p>
            <w:pPr>
              <w:spacing w:after="40" w:before="40"/>
            </w:pPr>
            <w:r/>
            <w:r>
              <w:rPr>
                <w:b/>
                <w:color w:val="FFFFFF"/>
                <w:sz w:val="18"/>
              </w:rPr>
              <w:t>Value</w:t>
            </w:r>
          </w:p>
        </w:tc>
        <w:tc>
          <w:tcPr>
            <w:tcW w:type="dxa" w:w="5216"/>
            <w:shd w:val="clear" w:fill="12305B"/>
          </w:tcPr>
          <w:p>
            <w:pPr>
              <w:spacing w:after="40" w:before="40"/>
            </w:pPr>
            <w:r/>
            <w:r>
              <w:rPr>
                <w:b/>
                <w:color w:val="FFFFFF"/>
                <w:sz w:val="18"/>
              </w:rPr>
              <w:t>Basis</w:t>
            </w:r>
          </w:p>
        </w:tc>
      </w:tr>
      <w:tr>
        <w:tc>
          <w:tcPr>
            <w:tcW w:type="dxa" w:w="2268"/>
          </w:tcPr>
          <w:p>
            <w:pPr>
              <w:spacing w:after="40" w:before="40"/>
            </w:pPr>
            <w:r/>
            <w:r>
              <w:rPr>
                <w:sz w:val="18"/>
              </w:rPr>
              <w:t>Delayed redemption</w:t>
            </w:r>
          </w:p>
        </w:tc>
        <w:tc>
          <w:tcPr>
            <w:tcW w:type="dxa" w:w="1928"/>
          </w:tcPr>
          <w:p>
            <w:pPr>
              <w:spacing w:after="40" w:before="40"/>
            </w:pPr>
            <w:r/>
            <w:r>
              <w:rPr>
                <w:sz w:val="18"/>
              </w:rPr>
              <w:t>&gt; 7 days</w:t>
            </w:r>
          </w:p>
        </w:tc>
        <w:tc>
          <w:tcPr>
            <w:tcW w:type="dxa" w:w="5216"/>
          </w:tcPr>
          <w:p>
            <w:pPr>
              <w:spacing w:after="40" w:before="40"/>
            </w:pPr>
            <w:r/>
            <w:r>
              <w:rPr>
                <w:sz w:val="18"/>
              </w:rPr>
              <w:t>No threshold supplied. 7 days sits above the 75th percentile (5 days), so it flags a genuine tail rather than routine behaviour</w:t>
            </w:r>
          </w:p>
        </w:tc>
      </w:tr>
      <w:tr>
        <w:tc>
          <w:tcPr>
            <w:tcW w:type="dxa" w:w="2268"/>
            <w:shd w:val="clear" w:fill="F2F6FB"/>
          </w:tcPr>
          <w:p>
            <w:pPr>
              <w:spacing w:after="40" w:before="40"/>
            </w:pPr>
            <w:r/>
            <w:r>
              <w:rPr>
                <w:sz w:val="18"/>
              </w:rPr>
              <w:t>Voucher expiry / breakage</w:t>
            </w:r>
          </w:p>
        </w:tc>
        <w:tc>
          <w:tcPr>
            <w:tcW w:type="dxa" w:w="1928"/>
            <w:shd w:val="clear" w:fill="F2F6FB"/>
          </w:tcPr>
          <w:p>
            <w:pPr>
              <w:spacing w:after="40" w:before="40"/>
            </w:pPr>
            <w:r/>
            <w:r>
              <w:rPr>
                <w:sz w:val="18"/>
              </w:rPr>
              <w:t>90 days</w:t>
            </w:r>
          </w:p>
        </w:tc>
        <w:tc>
          <w:tcPr>
            <w:tcW w:type="dxa" w:w="5216"/>
            <w:shd w:val="clear" w:fill="F2F6FB"/>
          </w:tcPr>
          <w:p>
            <w:pPr>
              <w:spacing w:after="40" w:before="40"/>
            </w:pPr>
            <w:r/>
            <w:r>
              <w:rPr>
                <w:sz w:val="18"/>
              </w:rPr>
              <w:t>No expiry rule supplied; 90 days is a common industry default. Affects breakage only</w:t>
            </w:r>
          </w:p>
        </w:tc>
      </w:tr>
      <w:tr>
        <w:tc>
          <w:tcPr>
            <w:tcW w:type="dxa" w:w="2268"/>
          </w:tcPr>
          <w:p>
            <w:pPr>
              <w:spacing w:after="40" w:before="40"/>
            </w:pPr>
            <w:r/>
            <w:r>
              <w:rPr>
                <w:sz w:val="18"/>
              </w:rPr>
              <w:t>High priority</w:t>
            </w:r>
          </w:p>
        </w:tc>
        <w:tc>
          <w:tcPr>
            <w:tcW w:type="dxa" w:w="1928"/>
          </w:tcPr>
          <w:p>
            <w:pPr>
              <w:spacing w:after="40" w:before="40"/>
            </w:pPr>
            <w:r/>
            <w:r>
              <w:rPr>
                <w:sz w:val="18"/>
              </w:rPr>
              <w:t>High, Critical</w:t>
            </w:r>
          </w:p>
        </w:tc>
        <w:tc>
          <w:tcPr>
            <w:tcW w:type="dxa" w:w="5216"/>
          </w:tcPr>
          <w:p>
            <w:pPr>
              <w:spacing w:after="40" w:before="40"/>
            </w:pPr>
            <w:r/>
            <w:r>
              <w:rPr>
                <w:sz w:val="18"/>
              </w:rPr>
              <w:t>Used for the SLA concentration analysis</w:t>
            </w:r>
          </w:p>
        </w:tc>
      </w:tr>
      <w:tr>
        <w:tc>
          <w:tcPr>
            <w:tcW w:type="dxa" w:w="2268"/>
            <w:shd w:val="clear" w:fill="F2F6FB"/>
          </w:tcPr>
          <w:p>
            <w:pPr>
              <w:spacing w:after="40" w:before="40"/>
            </w:pPr>
            <w:r/>
            <w:r>
              <w:rPr>
                <w:sz w:val="18"/>
              </w:rPr>
              <w:t>Redemption integrity</w:t>
            </w:r>
          </w:p>
        </w:tc>
        <w:tc>
          <w:tcPr>
            <w:tcW w:type="dxa" w:w="1928"/>
            <w:shd w:val="clear" w:fill="F2F6FB"/>
          </w:tcPr>
          <w:p>
            <w:pPr>
              <w:spacing w:after="40" w:before="40"/>
            </w:pPr>
            <w:r/>
            <w:r>
              <w:rPr>
                <w:sz w:val="18"/>
              </w:rPr>
              <w:t>Flag AND valid non-retrograde date must agree</w:t>
            </w:r>
          </w:p>
        </w:tc>
        <w:tc>
          <w:tcPr>
            <w:tcW w:type="dxa" w:w="5216"/>
            <w:shd w:val="clear" w:fill="F2F6FB"/>
          </w:tcPr>
          <w:p>
            <w:pPr>
              <w:spacing w:after="40" w:before="40"/>
            </w:pPr>
            <w:r/>
            <w:r>
              <w:rPr>
                <w:sz w:val="18"/>
              </w:rPr>
              <w:t>Trusting the flag alone would let a corrupt feed inflate the most scrutinised KPI in the report</w:t>
            </w:r>
          </w:p>
        </w:tc>
      </w:tr>
    </w:tbl>
    <w:p>
      <w:pPr>
        <w:spacing w:after="80"/>
      </w:pPr>
    </w:p>
    <w:p>
      <w:pPr>
        <w:pStyle w:val="Heading2"/>
      </w:pPr>
      <w:r>
        <w:t>dbt project</w:t>
      </w:r>
    </w:p>
    <w:p>
      <w:pPr>
        <w:spacing w:after="140" w:before="0"/>
      </w:pPr>
      <w:r>
        <w:rPr>
          <w:b w:val="0"/>
          <w:i w:val="0"/>
          <w:sz w:val="21"/>
        </w:rPr>
        <w:t>18 models across staging, intermediate and marts, plus 1 snapshot, 4 seeds, 3 exposures and 132 tests. A full `dbt build` completes with 153 pass, 0 warnings, 0 errors. The project runs against DuckDB in development (seconds, no cloud cost) and the Fabric Warehouse in production via dbt-fabric. Identical SQL, only the adapter changes.</w:t>
      </w:r>
    </w:p>
    <w:tbl>
      <w:tblPr>
        <w:tblStyle w:val="TableGrid"/>
        <w:tblW w:type="auto" w:w="0"/>
        <w:jc w:val="center"/>
        <w:tblLook w:firstColumn="1" w:firstRow="1" w:lastColumn="0" w:lastRow="0" w:noHBand="0" w:noVBand="1" w:val="04A0"/>
      </w:tblPr>
      <w:tblGrid>
        <w:gridCol w:w="3175"/>
        <w:gridCol w:w="3175"/>
        <w:gridCol w:w="3175"/>
      </w:tblGrid>
      <w:tr>
        <w:tc>
          <w:tcPr>
            <w:tcW w:type="dxa" w:w="1814"/>
            <w:shd w:val="clear" w:fill="12305B"/>
          </w:tcPr>
          <w:p>
            <w:pPr>
              <w:spacing w:after="40" w:before="40"/>
            </w:pPr>
            <w:r/>
            <w:r>
              <w:rPr>
                <w:b/>
                <w:color w:val="FFFFFF"/>
                <w:sz w:val="18"/>
              </w:rPr>
              <w:t>Layer</w:t>
            </w:r>
          </w:p>
        </w:tc>
        <w:tc>
          <w:tcPr>
            <w:tcW w:type="dxa" w:w="1361"/>
            <w:shd w:val="clear" w:fill="12305B"/>
          </w:tcPr>
          <w:p>
            <w:pPr>
              <w:spacing w:after="40" w:before="40"/>
            </w:pPr>
            <w:r/>
            <w:r>
              <w:rPr>
                <w:b/>
                <w:color w:val="FFFFFF"/>
                <w:sz w:val="18"/>
              </w:rPr>
              <w:t>Models</w:t>
            </w:r>
          </w:p>
        </w:tc>
        <w:tc>
          <w:tcPr>
            <w:tcW w:type="dxa" w:w="6236"/>
            <w:shd w:val="clear" w:fill="12305B"/>
          </w:tcPr>
          <w:p>
            <w:pPr>
              <w:spacing w:after="40" w:before="40"/>
            </w:pPr>
            <w:r/>
            <w:r>
              <w:rPr>
                <w:b/>
                <w:color w:val="FFFFFF"/>
                <w:sz w:val="18"/>
              </w:rPr>
              <w:t>Purpose</w:t>
            </w:r>
          </w:p>
        </w:tc>
      </w:tr>
      <w:tr>
        <w:tc>
          <w:tcPr>
            <w:tcW w:type="dxa" w:w="1814"/>
          </w:tcPr>
          <w:p>
            <w:pPr>
              <w:spacing w:after="40" w:before="40"/>
            </w:pPr>
            <w:r/>
            <w:r>
              <w:rPr>
                <w:sz w:val="18"/>
              </w:rPr>
              <w:t>staging</w:t>
            </w:r>
          </w:p>
        </w:tc>
        <w:tc>
          <w:tcPr>
            <w:tcW w:type="dxa" w:w="1361"/>
          </w:tcPr>
          <w:p>
            <w:pPr>
              <w:spacing w:after="40" w:before="40"/>
            </w:pPr>
            <w:r/>
            <w:r>
              <w:rPr>
                <w:sz w:val="18"/>
              </w:rPr>
              <w:t>4 views</w:t>
            </w:r>
          </w:p>
        </w:tc>
        <w:tc>
          <w:tcPr>
            <w:tcW w:type="dxa" w:w="6236"/>
          </w:tcPr>
          <w:p>
            <w:pPr>
              <w:spacing w:after="40" w:before="40"/>
            </w:pPr>
            <w:r/>
            <w:r>
              <w:rPr>
                <w:sz w:val="18"/>
              </w:rPr>
              <w:t>Type, trim, deduplicate at the declared grain, apply integrity rules</w:t>
            </w:r>
          </w:p>
        </w:tc>
      </w:tr>
      <w:tr>
        <w:tc>
          <w:tcPr>
            <w:tcW w:type="dxa" w:w="1814"/>
            <w:shd w:val="clear" w:fill="F2F6FB"/>
          </w:tcPr>
          <w:p>
            <w:pPr>
              <w:spacing w:after="40" w:before="40"/>
            </w:pPr>
            <w:r/>
            <w:r>
              <w:rPr>
                <w:sz w:val="18"/>
              </w:rPr>
              <w:t>intermediate</w:t>
            </w:r>
          </w:p>
        </w:tc>
        <w:tc>
          <w:tcPr>
            <w:tcW w:type="dxa" w:w="1361"/>
            <w:shd w:val="clear" w:fill="F2F6FB"/>
          </w:tcPr>
          <w:p>
            <w:pPr>
              <w:spacing w:after="40" w:before="40"/>
            </w:pPr>
            <w:r/>
            <w:r>
              <w:rPr>
                <w:sz w:val="18"/>
              </w:rPr>
              <w:t>2 ephemeral</w:t>
            </w:r>
          </w:p>
        </w:tc>
        <w:tc>
          <w:tcPr>
            <w:tcW w:type="dxa" w:w="6236"/>
            <w:shd w:val="clear" w:fill="F2F6FB"/>
          </w:tcPr>
          <w:p>
            <w:pPr>
              <w:spacing w:after="40" w:before="40"/>
            </w:pPr>
            <w:r/>
            <w:r>
              <w:rPr>
                <w:sz w:val="18"/>
              </w:rPr>
              <w:t>int_merchant_monthly (merchant × month spine, zero-filled) and int_merchant_momentum (period comparisons). Inlined as CTEs — no extra storage, one definition</w:t>
            </w:r>
          </w:p>
        </w:tc>
      </w:tr>
      <w:tr>
        <w:tc>
          <w:tcPr>
            <w:tcW w:type="dxa" w:w="1814"/>
          </w:tcPr>
          <w:p>
            <w:pPr>
              <w:spacing w:after="40" w:before="40"/>
            </w:pPr>
            <w:r/>
            <w:r>
              <w:rPr>
                <w:sz w:val="18"/>
              </w:rPr>
              <w:t>snapshots</w:t>
            </w:r>
          </w:p>
        </w:tc>
        <w:tc>
          <w:tcPr>
            <w:tcW w:type="dxa" w:w="1361"/>
          </w:tcPr>
          <w:p>
            <w:pPr>
              <w:spacing w:after="40" w:before="40"/>
            </w:pPr>
            <w:r/>
            <w:r>
              <w:rPr>
                <w:sz w:val="18"/>
              </w:rPr>
              <w:t>1</w:t>
            </w:r>
          </w:p>
        </w:tc>
        <w:tc>
          <w:tcPr>
            <w:tcW w:type="dxa" w:w="6236"/>
          </w:tcPr>
          <w:p>
            <w:pPr>
              <w:spacing w:after="40" w:before="40"/>
            </w:pPr>
            <w:r/>
            <w:r>
              <w:rPr>
                <w:sz w:val="18"/>
              </w:rPr>
              <w:t>snap_merchant — Type 2 capture of slowly-changing merchant attributes</w:t>
            </w:r>
          </w:p>
        </w:tc>
      </w:tr>
      <w:tr>
        <w:tc>
          <w:tcPr>
            <w:tcW w:type="dxa" w:w="1814"/>
            <w:shd w:val="clear" w:fill="F2F6FB"/>
          </w:tcPr>
          <w:p>
            <w:pPr>
              <w:spacing w:after="40" w:before="40"/>
            </w:pPr>
            <w:r/>
            <w:r>
              <w:rPr>
                <w:sz w:val="18"/>
              </w:rPr>
              <w:t>marts / core</w:t>
            </w:r>
          </w:p>
        </w:tc>
        <w:tc>
          <w:tcPr>
            <w:tcW w:type="dxa" w:w="1361"/>
            <w:shd w:val="clear" w:fill="F2F6FB"/>
          </w:tcPr>
          <w:p>
            <w:pPr>
              <w:spacing w:after="40" w:before="40"/>
            </w:pPr>
            <w:r/>
            <w:r>
              <w:rPr>
                <w:sz w:val="18"/>
              </w:rPr>
              <w:t>10</w:t>
            </w:r>
          </w:p>
        </w:tc>
        <w:tc>
          <w:tcPr>
            <w:tcW w:type="dxa" w:w="6236"/>
            <w:shd w:val="clear" w:fill="F2F6FB"/>
          </w:tcPr>
          <w:p>
            <w:pPr>
              <w:spacing w:after="40" w:before="40"/>
            </w:pPr>
            <w:r/>
            <w:r>
              <w:rPr>
                <w:sz w:val="18"/>
              </w:rPr>
              <w:t>6 conformed dimensions + 4 facts, plus the Type 2 dimension</w:t>
            </w:r>
          </w:p>
        </w:tc>
      </w:tr>
      <w:tr>
        <w:tc>
          <w:tcPr>
            <w:tcW w:type="dxa" w:w="1814"/>
          </w:tcPr>
          <w:p>
            <w:pPr>
              <w:spacing w:after="40" w:before="40"/>
            </w:pPr>
            <w:r/>
            <w:r>
              <w:rPr>
                <w:sz w:val="18"/>
              </w:rPr>
              <w:t>marts / analytics</w:t>
            </w:r>
          </w:p>
        </w:tc>
        <w:tc>
          <w:tcPr>
            <w:tcW w:type="dxa" w:w="1361"/>
          </w:tcPr>
          <w:p>
            <w:pPr>
              <w:spacing w:after="40" w:before="40"/>
            </w:pPr>
            <w:r/>
            <w:r>
              <w:rPr>
                <w:sz w:val="18"/>
              </w:rPr>
              <w:t>1</w:t>
            </w:r>
          </w:p>
        </w:tc>
        <w:tc>
          <w:tcPr>
            <w:tcW w:type="dxa" w:w="6236"/>
          </w:tcPr>
          <w:p>
            <w:pPr>
              <w:spacing w:after="40" w:before="40"/>
            </w:pPr>
            <w:r/>
            <w:r>
              <w:rPr>
                <w:sz w:val="18"/>
              </w:rPr>
              <w:t>mart_merchant_scorecard — drill-through target and ML features</w:t>
            </w:r>
          </w:p>
        </w:tc>
      </w:tr>
    </w:tbl>
    <w:p>
      <w:pPr>
        <w:spacing w:after="80"/>
      </w:pPr>
    </w:p>
    <w:p>
      <w:pPr>
        <w:spacing w:after="80" w:before="0"/>
      </w:pPr>
      <w:r>
        <w:rPr>
          <w:b w:val="0"/>
          <w:i w:val="0"/>
          <w:sz w:val="21"/>
        </w:rPr>
        <w:t>Two modelling changes were made after the first build, both to close real gaps:</w:t>
      </w:r>
    </w:p>
    <w:p>
      <w:pPr>
        <w:spacing w:after="140"/>
      </w:pPr>
      <w:r>
        <w:rPr>
          <w:b/>
          <w:color w:val="0E8B8B"/>
          <w:sz w:val="21"/>
        </w:rPr>
        <w:t xml:space="preserve">Three ticket dimensions instead of one combined table. </w:t>
      </w:r>
      <w:r>
        <w:rPr>
          <w:b w:val="0"/>
          <w:sz w:val="21"/>
        </w:rPr>
        <w:t>Ticket type, priority and status were originally unioned into a single table behind a dimension_type discriminator. That had two costs: the three foreign keys on fct_support_tickets could not be tested for referential integrity — a relationships test could not distinguish 'priority_key resolves to a priority' from 'resolves to something, somewhere' — and Power BI cannot build three independent filter paths off one physical table without role-playing copies. Splitting them added 9 referential tests that previously could not exist. Six rows is not too small to deserve its own dimension; join clarity matters more than table count.</w:t>
      </w:r>
    </w:p>
    <w:p>
      <w:pPr>
        <w:spacing w:after="140"/>
      </w:pPr>
      <w:r>
        <w:rPr>
          <w:b/>
          <w:color w:val="0E8B8B"/>
          <w:sz w:val="21"/>
        </w:rPr>
        <w:t xml:space="preserve">A Type 2 snapshot on merchant attributes. </w:t>
      </w:r>
      <w:r>
        <w:rPr>
          <w:b w:val="0"/>
          <w:sz w:val="21"/>
        </w:rPr>
        <w:t>MerchantReference is a current-state extract — each load overwrites the last, so active_status, account_manager and target history is destroyed at source. That matters: two merchants are currently flagged 'At Risk', and 'when did that change, and did performance decline before or after?' is unanswerable without history. The snapshot uses the check strategy rather than timestamp, because the source has no reliable last-modified column (OnboardedDate is when the merchant joined, not when the row was edited).</w:t>
      </w:r>
    </w:p>
    <w:tbl>
      <w:tblPr>
        <w:tblStyle w:val="TableGrid"/>
        <w:tblW w:type="auto" w:w="0"/>
        <w:jc w:val="center"/>
        <w:tblLook w:firstColumn="1" w:firstRow="1" w:lastColumn="0" w:lastRow="0" w:noHBand="0" w:noVBand="1" w:val="04A0"/>
      </w:tblPr>
      <w:tblGrid>
        <w:gridCol w:w="3175"/>
        <w:gridCol w:w="3175"/>
        <w:gridCol w:w="3175"/>
      </w:tblGrid>
      <w:tr>
        <w:tc>
          <w:tcPr>
            <w:tcW w:type="dxa" w:w="2608"/>
            <w:shd w:val="clear" w:fill="12305B"/>
          </w:tcPr>
          <w:p>
            <w:pPr>
              <w:spacing w:after="40" w:before="40"/>
            </w:pPr>
            <w:r/>
            <w:r>
              <w:rPr>
                <w:b/>
                <w:color w:val="FFFFFF"/>
                <w:sz w:val="18"/>
              </w:rPr>
              <w:t>Test category</w:t>
            </w:r>
          </w:p>
        </w:tc>
        <w:tc>
          <w:tcPr>
            <w:tcW w:type="dxa" w:w="1020"/>
            <w:shd w:val="clear" w:fill="12305B"/>
          </w:tcPr>
          <w:p>
            <w:pPr>
              <w:spacing w:after="40" w:before="40"/>
              <w:jc w:val="right"/>
            </w:pPr>
            <w:r/>
            <w:r>
              <w:rPr>
                <w:b/>
                <w:color w:val="FFFFFF"/>
                <w:sz w:val="18"/>
              </w:rPr>
              <w:t>Count</w:t>
            </w:r>
          </w:p>
        </w:tc>
        <w:tc>
          <w:tcPr>
            <w:tcW w:type="dxa" w:w="5783"/>
            <w:shd w:val="clear" w:fill="12305B"/>
          </w:tcPr>
          <w:p>
            <w:pPr>
              <w:spacing w:after="40" w:before="40"/>
            </w:pPr>
            <w:r/>
            <w:r>
              <w:rPr>
                <w:b/>
                <w:color w:val="FFFFFF"/>
                <w:sz w:val="18"/>
              </w:rPr>
              <w:t>Examples</w:t>
            </w:r>
          </w:p>
        </w:tc>
      </w:tr>
      <w:tr>
        <w:tc>
          <w:tcPr>
            <w:tcW w:type="dxa" w:w="2608"/>
          </w:tcPr>
          <w:p>
            <w:pPr>
              <w:spacing w:after="40" w:before="40"/>
            </w:pPr>
            <w:r/>
            <w:r>
              <w:rPr>
                <w:sz w:val="18"/>
              </w:rPr>
              <w:t>Uniqueness / not-null</w:t>
            </w:r>
          </w:p>
        </w:tc>
        <w:tc>
          <w:tcPr>
            <w:tcW w:type="dxa" w:w="1020"/>
          </w:tcPr>
          <w:p>
            <w:pPr>
              <w:spacing w:after="40" w:before="40"/>
              <w:jc w:val="right"/>
            </w:pPr>
            <w:r/>
            <w:r>
              <w:rPr>
                <w:sz w:val="18"/>
              </w:rPr>
              <w:t>58</w:t>
            </w:r>
          </w:p>
        </w:tc>
        <w:tc>
          <w:tcPr>
            <w:tcW w:type="dxa" w:w="5783"/>
          </w:tcPr>
          <w:p>
            <w:pPr>
              <w:spacing w:after="40" w:before="40"/>
            </w:pPr>
            <w:r/>
            <w:r>
              <w:rPr>
                <w:sz w:val="18"/>
              </w:rPr>
              <w:t>Primary keys on every dimension, fact and mart</w:t>
            </w:r>
          </w:p>
        </w:tc>
      </w:tr>
      <w:tr>
        <w:tc>
          <w:tcPr>
            <w:tcW w:type="dxa" w:w="2608"/>
            <w:shd w:val="clear" w:fill="F2F6FB"/>
          </w:tcPr>
          <w:p>
            <w:pPr>
              <w:spacing w:after="40" w:before="40"/>
            </w:pPr>
            <w:r/>
            <w:r>
              <w:rPr>
                <w:sz w:val="18"/>
              </w:rPr>
              <w:t>Referential integrity</w:t>
            </w:r>
          </w:p>
        </w:tc>
        <w:tc>
          <w:tcPr>
            <w:tcW w:type="dxa" w:w="1020"/>
            <w:shd w:val="clear" w:fill="F2F6FB"/>
          </w:tcPr>
          <w:p>
            <w:pPr>
              <w:spacing w:after="40" w:before="40"/>
              <w:jc w:val="right"/>
            </w:pPr>
            <w:r/>
            <w:r>
              <w:rPr>
                <w:sz w:val="18"/>
              </w:rPr>
              <w:t>18</w:t>
            </w:r>
          </w:p>
        </w:tc>
        <w:tc>
          <w:tcPr>
            <w:tcW w:type="dxa" w:w="5783"/>
            <w:shd w:val="clear" w:fill="F2F6FB"/>
          </w:tcPr>
          <w:p>
            <w:pPr>
              <w:spacing w:after="40" w:before="40"/>
            </w:pPr>
            <w:r/>
            <w:r>
              <w:rPr>
                <w:sz w:val="18"/>
              </w:rPr>
              <w:t>Every fact foreign key resolves to its own dimension</w:t>
            </w:r>
          </w:p>
        </w:tc>
      </w:tr>
      <w:tr>
        <w:tc>
          <w:tcPr>
            <w:tcW w:type="dxa" w:w="2608"/>
          </w:tcPr>
          <w:p>
            <w:pPr>
              <w:spacing w:after="40" w:before="40"/>
            </w:pPr>
            <w:r/>
            <w:r>
              <w:rPr>
                <w:sz w:val="18"/>
              </w:rPr>
              <w:t>Accepted values</w:t>
            </w:r>
          </w:p>
        </w:tc>
        <w:tc>
          <w:tcPr>
            <w:tcW w:type="dxa" w:w="1020"/>
          </w:tcPr>
          <w:p>
            <w:pPr>
              <w:spacing w:after="40" w:before="40"/>
              <w:jc w:val="right"/>
            </w:pPr>
            <w:r/>
            <w:r>
              <w:rPr>
                <w:sz w:val="18"/>
              </w:rPr>
              <w:t>14</w:t>
            </w:r>
          </w:p>
        </w:tc>
        <w:tc>
          <w:tcPr>
            <w:tcW w:type="dxa" w:w="5783"/>
          </w:tcPr>
          <w:p>
            <w:pPr>
              <w:spacing w:after="40" w:before="40"/>
            </w:pPr>
            <w:r/>
            <w:r>
              <w:rPr>
                <w:sz w:val="18"/>
              </w:rPr>
              <w:t>Region, Channel, Priority, Status, SLAHours, quality_flag</w:t>
            </w:r>
          </w:p>
        </w:tc>
      </w:tr>
      <w:tr>
        <w:tc>
          <w:tcPr>
            <w:tcW w:type="dxa" w:w="2608"/>
            <w:shd w:val="clear" w:fill="F2F6FB"/>
          </w:tcPr>
          <w:p>
            <w:pPr>
              <w:spacing w:after="40" w:before="40"/>
            </w:pPr>
            <w:r/>
            <w:r>
              <w:rPr>
                <w:sz w:val="18"/>
              </w:rPr>
              <w:t>Range / expectation</w:t>
            </w:r>
          </w:p>
        </w:tc>
        <w:tc>
          <w:tcPr>
            <w:tcW w:type="dxa" w:w="1020"/>
            <w:shd w:val="clear" w:fill="F2F6FB"/>
          </w:tcPr>
          <w:p>
            <w:pPr>
              <w:spacing w:after="40" w:before="40"/>
              <w:jc w:val="right"/>
            </w:pPr>
            <w:r/>
            <w:r>
              <w:rPr>
                <w:sz w:val="18"/>
              </w:rPr>
              <w:t>16</w:t>
            </w:r>
          </w:p>
        </w:tc>
        <w:tc>
          <w:tcPr>
            <w:tcW w:type="dxa" w:w="5783"/>
            <w:shd w:val="clear" w:fill="F2F6FB"/>
          </w:tcPr>
          <w:p>
            <w:pPr>
              <w:spacing w:after="40" w:before="40"/>
            </w:pPr>
            <w:r/>
            <w:r>
              <w:rPr>
                <w:sz w:val="18"/>
              </w:rPr>
              <w:t>sales_value ≥ 0; resolution_hours between 0 and 720</w:t>
            </w:r>
          </w:p>
        </w:tc>
      </w:tr>
      <w:tr>
        <w:tc>
          <w:tcPr>
            <w:tcW w:type="dxa" w:w="2608"/>
          </w:tcPr>
          <w:p>
            <w:pPr>
              <w:spacing w:after="40" w:before="40"/>
            </w:pPr>
            <w:r/>
            <w:r>
              <w:rPr>
                <w:sz w:val="18"/>
              </w:rPr>
              <w:t>Row-level logic</w:t>
            </w:r>
          </w:p>
        </w:tc>
        <w:tc>
          <w:tcPr>
            <w:tcW w:type="dxa" w:w="1020"/>
          </w:tcPr>
          <w:p>
            <w:pPr>
              <w:spacing w:after="40" w:before="40"/>
              <w:jc w:val="right"/>
            </w:pPr>
            <w:r/>
            <w:r>
              <w:rPr>
                <w:sz w:val="18"/>
              </w:rPr>
              <w:t>10</w:t>
            </w:r>
          </w:p>
        </w:tc>
        <w:tc>
          <w:tcPr>
            <w:tcW w:type="dxa" w:w="5783"/>
          </w:tcPr>
          <w:p>
            <w:pPr>
              <w:spacing w:after="40" w:before="40"/>
            </w:pPr>
            <w:r/>
            <w:r>
              <w:rPr>
                <w:sz w:val="18"/>
              </w:rPr>
              <w:t>is_sla_breach must equal (resolution_hours &gt; sla_hours)</w:t>
            </w:r>
          </w:p>
        </w:tc>
      </w:tr>
      <w:tr>
        <w:tc>
          <w:tcPr>
            <w:tcW w:type="dxa" w:w="2608"/>
            <w:shd w:val="clear" w:fill="F2F6FB"/>
          </w:tcPr>
          <w:p>
            <w:pPr>
              <w:spacing w:after="40" w:before="40"/>
            </w:pPr>
            <w:r/>
            <w:r>
              <w:rPr>
                <w:sz w:val="18"/>
              </w:rPr>
              <w:t>Completeness</w:t>
            </w:r>
          </w:p>
        </w:tc>
        <w:tc>
          <w:tcPr>
            <w:tcW w:type="dxa" w:w="1020"/>
            <w:shd w:val="clear" w:fill="F2F6FB"/>
          </w:tcPr>
          <w:p>
            <w:pPr>
              <w:spacing w:after="40" w:before="40"/>
              <w:jc w:val="right"/>
            </w:pPr>
            <w:r/>
            <w:r>
              <w:rPr>
                <w:sz w:val="18"/>
              </w:rPr>
              <w:t>6</w:t>
            </w:r>
          </w:p>
        </w:tc>
        <w:tc>
          <w:tcPr>
            <w:tcW w:type="dxa" w:w="5783"/>
            <w:shd w:val="clear" w:fill="F2F6FB"/>
          </w:tcPr>
          <w:p>
            <w:pPr>
              <w:spacing w:after="40" w:before="40"/>
            </w:pPr>
            <w:r/>
            <w:r>
              <w:rPr>
                <w:sz w:val="18"/>
              </w:rPr>
              <w:t>The scorecard must cover every real merchant; every merchant must have 7 months observed</w:t>
            </w:r>
          </w:p>
        </w:tc>
      </w:tr>
      <w:tr>
        <w:tc>
          <w:tcPr>
            <w:tcW w:type="dxa" w:w="2608"/>
          </w:tcPr>
          <w:p>
            <w:pPr>
              <w:spacing w:after="40" w:before="40"/>
            </w:pPr>
            <w:r/>
            <w:r>
              <w:rPr>
                <w:sz w:val="18"/>
              </w:rPr>
              <w:t>Singular (business)</w:t>
            </w:r>
          </w:p>
        </w:tc>
        <w:tc>
          <w:tcPr>
            <w:tcW w:type="dxa" w:w="1020"/>
          </w:tcPr>
          <w:p>
            <w:pPr>
              <w:spacing w:after="40" w:before="40"/>
              <w:jc w:val="right"/>
            </w:pPr>
            <w:r/>
            <w:r>
              <w:rPr>
                <w:sz w:val="18"/>
              </w:rPr>
              <w:t>4</w:t>
            </w:r>
          </w:p>
        </w:tc>
        <w:tc>
          <w:tcPr>
            <w:tcW w:type="dxa" w:w="5783"/>
          </w:tcPr>
          <w:p>
            <w:pPr>
              <w:spacing w:after="40" w:before="40"/>
            </w:pPr>
            <w:r/>
            <w:r>
              <w:rPr>
                <w:sz w:val="18"/>
              </w:rPr>
              <w:t>dim_date contiguity; bronze→gold revenue reconciliation; redemption rate plausibility; no future-dated facts</w:t>
            </w:r>
          </w:p>
        </w:tc>
      </w:tr>
      <w:tr>
        <w:tc>
          <w:tcPr>
            <w:tcW w:type="dxa" w:w="2608"/>
            <w:shd w:val="clear" w:fill="F2F6FB"/>
          </w:tcPr>
          <w:p>
            <w:pPr>
              <w:spacing w:after="40" w:before="40"/>
            </w:pPr>
            <w:r/>
            <w:r>
              <w:rPr>
                <w:sz w:val="18"/>
              </w:rPr>
              <w:t>Source freshness</w:t>
            </w:r>
          </w:p>
        </w:tc>
        <w:tc>
          <w:tcPr>
            <w:tcW w:type="dxa" w:w="1020"/>
            <w:shd w:val="clear" w:fill="F2F6FB"/>
          </w:tcPr>
          <w:p>
            <w:pPr>
              <w:spacing w:after="40" w:before="40"/>
              <w:jc w:val="right"/>
            </w:pPr>
            <w:r/>
            <w:r>
              <w:rPr>
                <w:sz w:val="18"/>
              </w:rPr>
              <w:t>3</w:t>
            </w:r>
          </w:p>
        </w:tc>
        <w:tc>
          <w:tcPr>
            <w:tcW w:type="dxa" w:w="5783"/>
            <w:shd w:val="clear" w:fill="F2F6FB"/>
          </w:tcPr>
          <w:p>
            <w:pPr>
              <w:spacing w:after="40" w:before="40"/>
            </w:pPr>
            <w:r/>
            <w:r>
              <w:rPr>
                <w:sz w:val="18"/>
              </w:rPr>
              <w:t>Warn at 26h, error at 48h</w:t>
            </w:r>
          </w:p>
        </w:tc>
      </w:tr>
      <w:tr>
        <w:tc>
          <w:tcPr>
            <w:tcW w:type="dxa" w:w="2608"/>
          </w:tcPr>
          <w:p>
            <w:pPr>
              <w:spacing w:after="40" w:before="40"/>
            </w:pPr>
            <w:r/>
            <w:r>
              <w:rPr>
                <w:sz w:val="18"/>
              </w:rPr>
              <w:t>SCD Type 2 behaviour</w:t>
            </w:r>
          </w:p>
        </w:tc>
        <w:tc>
          <w:tcPr>
            <w:tcW w:type="dxa" w:w="1020"/>
          </w:tcPr>
          <w:p>
            <w:pPr>
              <w:spacing w:after="40" w:before="40"/>
              <w:jc w:val="right"/>
            </w:pPr>
            <w:r/>
            <w:r>
              <w:rPr>
                <w:sz w:val="18"/>
              </w:rPr>
              <w:t>7</w:t>
            </w:r>
          </w:p>
        </w:tc>
        <w:tc>
          <w:tcPr>
            <w:tcW w:type="dxa" w:w="5783"/>
          </w:tcPr>
          <w:p>
            <w:pPr>
              <w:spacing w:after="40" w:before="40"/>
            </w:pPr>
            <w:r/>
            <w:r>
              <w:rPr>
                <w:sz w:val="18"/>
              </w:rPr>
              <w:t>Separate harness: simulates a change, asserts history was captured, restores state</w:t>
            </w:r>
          </w:p>
        </w:tc>
      </w:tr>
    </w:tbl>
    <w:p>
      <w:pPr>
        <w:spacing w:after="80"/>
      </w:pPr>
    </w:p>
    <w:tbl>
      <w:tblPr>
        <w:tblStyle w:val="TableGrid"/>
        <w:tblW w:type="auto" w:w="0"/>
        <w:tblLook w:firstColumn="1" w:firstRow="1" w:lastColumn="0" w:lastRow="0" w:noHBand="0" w:noVBand="1" w:val="04A0"/>
      </w:tblPr>
      <w:tblGrid>
        <w:gridCol w:w="9524"/>
      </w:tblGrid>
      <w:tr>
        <w:tc>
          <w:tcPr>
            <w:tcW w:type="dxa" w:w="9524"/>
            <w:shd w:val="clear" w:fill="F0F9F9"/>
          </w:tcPr>
          <w:p>
            <w:r/>
            <w:r>
              <w:rPr>
                <w:b/>
                <w:color w:val="0E8B8B"/>
                <w:sz w:val="20"/>
              </w:rPr>
              <w:t>Validating the snapshot rather than declaring it</w:t>
            </w:r>
          </w:p>
          <w:p>
            <w:pPr>
              <w:spacing w:after="60"/>
            </w:pPr>
            <w:r>
              <w:rPr>
                <w:sz w:val="19"/>
              </w:rPr>
              <w:t>A snapshot that has only ever seen one version of each row is indistinguishable from one that is silently broken. scripts/_test_scd2.py simulates a real merchant change (Umhlanga Value Mart moving to 'At Risk' with a new account manager), re-runs the snapshot, and asserts seven properties: a new version row was created, exactly one version is current, the current version carries the new value, the superseded version retains the old value and was closed off, version numbering is contiguous, and unchanged merchants did NOT gain a version. All seven pass, and the harness restores the original state afterwards.</w:t>
            </w:r>
          </w:p>
        </w:tc>
      </w:tr>
    </w:tbl>
    <w:p>
      <w:pPr>
        <w:spacing w:after="80"/>
      </w:pPr>
    </w:p>
    <w:tbl>
      <w:tblPr>
        <w:tblStyle w:val="TableGrid"/>
        <w:tblW w:type="auto" w:w="0"/>
        <w:tblLook w:firstColumn="1" w:firstRow="1" w:lastColumn="0" w:lastRow="0" w:noHBand="0" w:noVBand="1" w:val="04A0"/>
      </w:tblPr>
      <w:tblGrid>
        <w:gridCol w:w="9524"/>
      </w:tblGrid>
      <w:tr>
        <w:tc>
          <w:tcPr>
            <w:tcW w:type="dxa" w:w="9524"/>
            <w:shd w:val="clear" w:fill="F0F9F9"/>
          </w:tcPr>
          <w:p>
            <w:r/>
            <w:r>
              <w:rPr>
                <w:b/>
                <w:color w:val="0E8B8B"/>
                <w:sz w:val="20"/>
              </w:rPr>
              <w:t>The highest-value test in the project</w:t>
            </w:r>
          </w:p>
          <w:p>
            <w:pPr>
              <w:spacing w:after="60"/>
            </w:pPr>
            <w:r>
              <w:rPr>
                <w:sz w:val="19"/>
              </w:rPr>
              <w:t>dim_date contiguity. Power BI time-intelligence functions (DATEADD, SAMEPERIODLASTYEAR, TOTALYTD) do not raise an error on a date table with a missing day — they silently return a wrong number. A single absent date quietly understates a month-on-month comparison and nobody notices until someone reconciles by hand. The test asserts that the row count equals the span between the minimum and maximum date, which cannot be true if there is a gap.</w:t>
            </w:r>
          </w:p>
        </w:tc>
      </w:tr>
    </w:tbl>
    <w:p>
      <w:pPr>
        <w:spacing w:after="80"/>
      </w:pPr>
    </w:p>
    <w:p>
      <w:pPr>
        <w:pStyle w:val="Heading2"/>
      </w:pPr>
      <w:r>
        <w:t>Cross-implementation reconciliation</w:t>
      </w:r>
    </w:p>
    <w:p>
      <w:pPr>
        <w:spacing w:after="140" w:before="0"/>
      </w:pPr>
      <w:r>
        <w:rPr>
          <w:b w:val="0"/>
          <w:i w:val="0"/>
          <w:sz w:val="21"/>
        </w:rPr>
        <w:t>The gold layer is deliberately built twice — once in pandas, once in dbt SQL — by two independent code paths. Every headline figure is then compared. If two different engines produce the same answer, the transformation logic is almost certainly right; if they disagree, one of them is wrong and the report does not ship.</w:t>
      </w:r>
    </w:p>
    <w:p>
      <w:pPr>
        <w:spacing w:after="140"/>
      </w:pPr>
      <w:r>
        <w:rPr>
          <w:b/>
          <w:color w:val="C0392B"/>
          <w:sz w:val="21"/>
        </w:rPr>
        <w:t xml:space="preserve">This caught two genuine defects that no unit test would have found. </w:t>
      </w:r>
      <w:r>
        <w:rPr>
          <w:b w:val="0"/>
          <w:sz w:val="21"/>
        </w:rPr>
        <w:t xml:space="preserve">First, dim_date was absorbing the August redemption tail into the reporting window, inflating pro-rated sales targets by </w:t>
      </w:r>
      <w:r>
        <w:rPr>
          <w:b/>
          <w:color w:val="C0392B"/>
          <w:sz w:val="21"/>
        </w:rPr>
        <w:t>R984,046</w:t>
      </w:r>
      <w:r>
        <w:rPr>
          <w:b w:val="0"/>
          <w:sz w:val="21"/>
        </w:rPr>
        <w:t xml:space="preserve"> against a month containing no sales at all. Second, the Python and SQL percentile-rank conventions differ — pandas rank(pct=True) returns rank/n while ANSI PERCENT_RANK() returns (rank−1)/(n−1) — which shifted the Health Score by up to </w:t>
      </w:r>
      <w:r>
        <w:rPr>
          <w:b/>
          <w:color w:val="C0392B"/>
          <w:sz w:val="21"/>
        </w:rPr>
        <w:t>9.7 points</w:t>
      </w:r>
      <w:r>
        <w:rPr>
          <w:b w:val="0"/>
          <w:sz w:val="21"/>
        </w:rPr>
        <w:t>. Both are now fixed.</w:t>
      </w:r>
    </w:p>
    <w:tbl>
      <w:tblPr>
        <w:tblStyle w:val="TableGrid"/>
        <w:tblW w:type="auto" w:w="0"/>
        <w:jc w:val="center"/>
        <w:tblLook w:firstColumn="1" w:firstRow="1" w:lastColumn="0" w:lastRow="0" w:noHBand="0" w:noVBand="1" w:val="04A0"/>
      </w:tblPr>
      <w:tblGrid>
        <w:gridCol w:w="4762"/>
        <w:gridCol w:w="4762"/>
      </w:tblGrid>
      <w:tr>
        <w:tc>
          <w:tcPr>
            <w:tcW w:type="dxa" w:w="5669"/>
            <w:shd w:val="clear" w:fill="12305B"/>
          </w:tcPr>
          <w:p>
            <w:pPr>
              <w:spacing w:after="40" w:before="40"/>
            </w:pPr>
            <w:r/>
            <w:r>
              <w:rPr>
                <w:b/>
                <w:color w:val="FFFFFF"/>
                <w:sz w:val="19"/>
              </w:rPr>
              <w:t>Reconciliation result</w:t>
            </w:r>
          </w:p>
        </w:tc>
        <w:tc>
          <w:tcPr>
            <w:tcW w:type="dxa" w:w="1701"/>
            <w:shd w:val="clear" w:fill="12305B"/>
          </w:tcPr>
          <w:p>
            <w:pPr>
              <w:spacing w:after="40" w:before="40"/>
              <w:jc w:val="right"/>
            </w:pPr>
            <w:r/>
            <w:r>
              <w:rPr>
                <w:b/>
                <w:color w:val="FFFFFF"/>
                <w:sz w:val="19"/>
              </w:rPr>
              <w:t>Count</w:t>
            </w:r>
          </w:p>
        </w:tc>
      </w:tr>
      <w:tr>
        <w:tc>
          <w:tcPr>
            <w:tcW w:type="dxa" w:w="5669"/>
          </w:tcPr>
          <w:p>
            <w:pPr>
              <w:spacing w:after="40" w:before="40"/>
            </w:pPr>
            <w:r/>
            <w:r>
              <w:rPr>
                <w:sz w:val="19"/>
              </w:rPr>
              <w:t>Checks passed exactly</w:t>
            </w:r>
          </w:p>
        </w:tc>
        <w:tc>
          <w:tcPr>
            <w:tcW w:type="dxa" w:w="1701"/>
          </w:tcPr>
          <w:p>
            <w:pPr>
              <w:spacing w:after="40" w:before="40"/>
              <w:jc w:val="right"/>
            </w:pPr>
            <w:r/>
            <w:r>
              <w:rPr>
                <w:sz w:val="19"/>
              </w:rPr>
              <w:t>27</w:t>
            </w:r>
          </w:p>
        </w:tc>
      </w:tr>
      <w:tr>
        <w:tc>
          <w:tcPr>
            <w:tcW w:type="dxa" w:w="5669"/>
            <w:shd w:val="clear" w:fill="F2F6FB"/>
          </w:tcPr>
          <w:p>
            <w:pPr>
              <w:spacing w:after="40" w:before="40"/>
            </w:pPr>
            <w:r/>
            <w:r>
              <w:rPr>
                <w:sz w:val="19"/>
              </w:rPr>
              <w:t>Warnings (documented)</w:t>
            </w:r>
          </w:p>
        </w:tc>
        <w:tc>
          <w:tcPr>
            <w:tcW w:type="dxa" w:w="1701"/>
            <w:shd w:val="clear" w:fill="F2F6FB"/>
          </w:tcPr>
          <w:p>
            <w:pPr>
              <w:spacing w:after="40" w:before="40"/>
              <w:jc w:val="right"/>
            </w:pPr>
            <w:r/>
            <w:r>
              <w:rPr>
                <w:sz w:val="19"/>
              </w:rPr>
              <w:t>1</w:t>
            </w:r>
          </w:p>
        </w:tc>
      </w:tr>
      <w:tr>
        <w:tc>
          <w:tcPr>
            <w:tcW w:type="dxa" w:w="5669"/>
          </w:tcPr>
          <w:p>
            <w:pPr>
              <w:spacing w:after="40" w:before="40"/>
            </w:pPr>
            <w:r/>
            <w:r>
              <w:rPr>
                <w:sz w:val="19"/>
              </w:rPr>
              <w:t>Failures</w:t>
            </w:r>
          </w:p>
        </w:tc>
        <w:tc>
          <w:tcPr>
            <w:tcW w:type="dxa" w:w="1701"/>
          </w:tcPr>
          <w:p>
            <w:pPr>
              <w:spacing w:after="40" w:before="40"/>
              <w:jc w:val="right"/>
            </w:pPr>
            <w:r/>
            <w:r>
              <w:rPr>
                <w:sz w:val="19"/>
              </w:rPr>
              <w:t>0</w:t>
            </w:r>
          </w:p>
        </w:tc>
      </w:tr>
    </w:tbl>
    <w:p>
      <w:pPr>
        <w:spacing w:after="80"/>
      </w:pPr>
    </w:p>
    <w:p>
      <w:pPr>
        <w:spacing w:after="140" w:before="0"/>
      </w:pPr>
      <w:r>
        <w:rPr>
          <w:b w:val="0"/>
          <w:i/>
          <w:color w:val="5A6672"/>
          <w:sz w:val="19"/>
        </w:rPr>
        <w:t>The single remaining warning is a 0.1 difference on the Health Score caused by Python's banker's rounding versus SQL's round-half-up. Every INPUT to the score reconciles to 0.000000, which is what proves it is a presentation artefact rather than a logic difference — and that proof is only available because the inputs are compared individually rather than just the result.</w:t>
      </w:r>
    </w:p>
    <w:p>
      <w:r>
        <w:br w:type="page"/>
      </w:r>
    </w:p>
    <w:p>
      <w:pPr>
        <w:pStyle w:val="Heading1"/>
      </w:pPr>
      <w:r>
        <w:t>5. Semantic model and report</w:t>
      </w:r>
    </w:p>
    <w:p>
      <w:pPr>
        <w:pStyle w:val="Heading2"/>
      </w:pPr>
      <w:r>
        <w:t>DAX measure library</w:t>
      </w:r>
    </w:p>
    <w:p>
      <w:pPr>
        <w:spacing w:after="140" w:before="0"/>
      </w:pPr>
      <w:r>
        <w:rPr>
          <w:b w:val="0"/>
          <w:i w:val="0"/>
          <w:sz w:val="21"/>
        </w:rPr>
        <w:t>31+ measures organised into display folders: Sales, Redemption, Operations, Time Intelligence, Ranking, Formatting and Narrative. Conventions applied throughout: measures live in a dedicated _Measures table; DIVIDE() is used everywhere so a zero denominator returns BLANK rather than an error; and ratios are always SUM/SUM, never AVERAGE of a per-row ratio.</w:t>
      </w:r>
    </w:p>
    <w:tbl>
      <w:tblPr>
        <w:tblStyle w:val="TableGrid"/>
        <w:tblW w:type="auto" w:w="0"/>
        <w:tblLook w:firstColumn="1" w:firstRow="1" w:lastColumn="0" w:lastRow="0" w:noHBand="0" w:noVBand="1" w:val="04A0"/>
      </w:tblPr>
      <w:tblGrid>
        <w:gridCol w:w="9524"/>
      </w:tblGrid>
      <w:tr>
        <w:tc>
          <w:tcPr>
            <w:tcW w:type="dxa" w:w="9524"/>
            <w:shd w:val="clear" w:fill="F0F9F9"/>
          </w:tcPr>
          <w:p>
            <w:r/>
            <w:r>
              <w:rPr>
                <w:b/>
                <w:color w:val="0E8B8B"/>
                <w:sz w:val="20"/>
              </w:rPr>
              <w:t>Why SUM/SUM rather than AVERAGE</w:t>
            </w:r>
          </w:p>
          <w:p>
            <w:pPr>
              <w:spacing w:after="60"/>
            </w:pPr>
            <w:r>
              <w:rPr>
                <w:sz w:val="19"/>
              </w:rPr>
              <w:t>Average Basket Value must be SUM(sales_value)/SUM(transactions). Taking AVERAGE(avg_basket_value) averages a per-row ratio, which weights a one-transaction day exactly the same as a five-hundred-transaction day. It is the classic way an 'average basket' measure ends up quietly wrong, and it is invisible unless someone checks the arithmetic by hand.</w:t>
            </w:r>
          </w:p>
        </w:tc>
      </w:tr>
    </w:tbl>
    <w:p>
      <w:pPr>
        <w:spacing w:after="80"/>
      </w:pPr>
    </w:p>
    <w:p>
      <w:pPr>
        <w:spacing w:after="140" w:before="0"/>
      </w:pPr>
      <w:r>
        <w:rPr>
          <w:b w:val="0"/>
          <w:i w:val="0"/>
          <w:sz w:val="21"/>
        </w:rPr>
        <w:t>DAX cannot be executed outside Power BI, so each measure carries a SQL reference definition evaluated against the gold layer to produce an expected value. docs/dax_validation.csv is the acceptance test: after the measures are entered, every card is checked against it, and a mismatch identifies exactly which definition drifted.</w:t>
      </w:r>
    </w:p>
    <w:tbl>
      <w:tblPr>
        <w:tblStyle w:val="TableGrid"/>
        <w:tblW w:type="auto" w:w="0"/>
        <w:jc w:val="center"/>
        <w:tblLook w:firstColumn="1" w:firstRow="1" w:lastColumn="0" w:lastRow="0" w:noHBand="0" w:noVBand="1" w:val="04A0"/>
      </w:tblPr>
      <w:tblGrid>
        <w:gridCol w:w="3175"/>
        <w:gridCol w:w="3175"/>
        <w:gridCol w:w="3175"/>
      </w:tblGrid>
      <w:tr>
        <w:tc>
          <w:tcPr>
            <w:tcW w:type="dxa" w:w="3628"/>
            <w:shd w:val="clear" w:fill="12305B"/>
          </w:tcPr>
          <w:p>
            <w:pPr>
              <w:spacing w:after="40" w:before="40"/>
            </w:pPr>
            <w:r/>
            <w:r>
              <w:rPr>
                <w:b/>
                <w:color w:val="FFFFFF"/>
                <w:sz w:val="18"/>
              </w:rPr>
              <w:t>Measure</w:t>
            </w:r>
          </w:p>
        </w:tc>
        <w:tc>
          <w:tcPr>
            <w:tcW w:type="dxa" w:w="1928"/>
            <w:shd w:val="clear" w:fill="12305B"/>
          </w:tcPr>
          <w:p>
            <w:pPr>
              <w:spacing w:after="40" w:before="40"/>
              <w:jc w:val="right"/>
            </w:pPr>
            <w:r/>
            <w:r>
              <w:rPr>
                <w:b/>
                <w:color w:val="FFFFFF"/>
                <w:sz w:val="18"/>
              </w:rPr>
              <w:t>Expected value</w:t>
            </w:r>
          </w:p>
        </w:tc>
        <w:tc>
          <w:tcPr>
            <w:tcW w:type="dxa" w:w="3855"/>
            <w:shd w:val="clear" w:fill="12305B"/>
          </w:tcPr>
          <w:p>
            <w:pPr>
              <w:spacing w:after="40" w:before="40"/>
            </w:pPr>
            <w:r/>
            <w:r>
              <w:rPr>
                <w:b/>
                <w:color w:val="FFFFFF"/>
                <w:sz w:val="18"/>
              </w:rPr>
              <w:t>Note</w:t>
            </w:r>
          </w:p>
        </w:tc>
      </w:tr>
      <w:tr>
        <w:tc>
          <w:tcPr>
            <w:tcW w:type="dxa" w:w="3628"/>
          </w:tcPr>
          <w:p>
            <w:pPr>
              <w:spacing w:after="40" w:before="40"/>
            </w:pPr>
            <w:r/>
            <w:r>
              <w:rPr>
                <w:sz w:val="18"/>
              </w:rPr>
              <w:t>Total Sales</w:t>
            </w:r>
          </w:p>
        </w:tc>
        <w:tc>
          <w:tcPr>
            <w:tcW w:type="dxa" w:w="1928"/>
          </w:tcPr>
          <w:p>
            <w:pPr>
              <w:spacing w:after="40" w:before="40"/>
              <w:jc w:val="right"/>
            </w:pPr>
            <w:r/>
            <w:r>
              <w:rPr>
                <w:sz w:val="18"/>
              </w:rPr>
              <w:t>R65.5m</w:t>
            </w:r>
          </w:p>
        </w:tc>
        <w:tc>
          <w:tcPr>
            <w:tcW w:type="dxa" w:w="3855"/>
          </w:tcPr>
          <w:p>
            <w:pPr>
              <w:spacing w:after="40" w:before="40"/>
            </w:pPr>
            <w:r/>
            <w:r>
              <w:rPr>
                <w:sz w:val="18"/>
              </w:rPr>
              <w:t>26,500 fact rows</w:t>
            </w:r>
          </w:p>
        </w:tc>
      </w:tr>
      <w:tr>
        <w:tc>
          <w:tcPr>
            <w:tcW w:type="dxa" w:w="3628"/>
            <w:shd w:val="clear" w:fill="F2F6FB"/>
          </w:tcPr>
          <w:p>
            <w:pPr>
              <w:spacing w:after="40" w:before="40"/>
            </w:pPr>
            <w:r/>
            <w:r>
              <w:rPr>
                <w:sz w:val="18"/>
              </w:rPr>
              <w:t>Average Basket Value</w:t>
            </w:r>
          </w:p>
        </w:tc>
        <w:tc>
          <w:tcPr>
            <w:tcW w:type="dxa" w:w="1928"/>
            <w:shd w:val="clear" w:fill="F2F6FB"/>
          </w:tcPr>
          <w:p>
            <w:pPr>
              <w:spacing w:after="40" w:before="40"/>
              <w:jc w:val="right"/>
            </w:pPr>
            <w:r/>
            <w:r>
              <w:rPr>
                <w:sz w:val="18"/>
              </w:rPr>
              <w:t>R128</w:t>
            </w:r>
          </w:p>
        </w:tc>
        <w:tc>
          <w:tcPr>
            <w:tcW w:type="dxa" w:w="3855"/>
            <w:shd w:val="clear" w:fill="F2F6FB"/>
          </w:tcPr>
          <w:p>
            <w:pPr>
              <w:spacing w:after="40" w:before="40"/>
            </w:pPr>
            <w:r/>
            <w:r>
              <w:rPr>
                <w:sz w:val="18"/>
              </w:rPr>
              <w:t>SUM/SUM</w:t>
            </w:r>
          </w:p>
        </w:tc>
      </w:tr>
      <w:tr>
        <w:tc>
          <w:tcPr>
            <w:tcW w:type="dxa" w:w="3628"/>
          </w:tcPr>
          <w:p>
            <w:pPr>
              <w:spacing w:after="40" w:before="40"/>
            </w:pPr>
            <w:r/>
            <w:r>
              <w:rPr>
                <w:sz w:val="18"/>
              </w:rPr>
              <w:t>Redemption Rate %</w:t>
            </w:r>
          </w:p>
        </w:tc>
        <w:tc>
          <w:tcPr>
            <w:tcW w:type="dxa" w:w="1928"/>
          </w:tcPr>
          <w:p>
            <w:pPr>
              <w:spacing w:after="40" w:before="40"/>
              <w:jc w:val="right"/>
            </w:pPr>
            <w:r/>
            <w:r>
              <w:rPr>
                <w:sz w:val="18"/>
              </w:rPr>
              <w:t>84.19%</w:t>
            </w:r>
          </w:p>
        </w:tc>
        <w:tc>
          <w:tcPr>
            <w:tcW w:type="dxa" w:w="3855"/>
          </w:tcPr>
          <w:p>
            <w:pPr>
              <w:spacing w:after="40" w:before="40"/>
            </w:pPr>
            <w:r/>
            <w:r>
              <w:rPr>
                <w:sz w:val="18"/>
              </w:rPr>
              <w:t>volume basis</w:t>
            </w:r>
          </w:p>
        </w:tc>
      </w:tr>
      <w:tr>
        <w:tc>
          <w:tcPr>
            <w:tcW w:type="dxa" w:w="3628"/>
            <w:shd w:val="clear" w:fill="F2F6FB"/>
          </w:tcPr>
          <w:p>
            <w:pPr>
              <w:spacing w:after="40" w:before="40"/>
            </w:pPr>
            <w:r/>
            <w:r>
              <w:rPr>
                <w:sz w:val="18"/>
              </w:rPr>
              <w:t>Value Redemption Rate %</w:t>
            </w:r>
          </w:p>
        </w:tc>
        <w:tc>
          <w:tcPr>
            <w:tcW w:type="dxa" w:w="1928"/>
            <w:shd w:val="clear" w:fill="F2F6FB"/>
          </w:tcPr>
          <w:p>
            <w:pPr>
              <w:spacing w:after="40" w:before="40"/>
              <w:jc w:val="right"/>
            </w:pPr>
            <w:r/>
            <w:r>
              <w:rPr>
                <w:sz w:val="18"/>
              </w:rPr>
              <w:t>83.92%</w:t>
            </w:r>
          </w:p>
        </w:tc>
        <w:tc>
          <w:tcPr>
            <w:tcW w:type="dxa" w:w="3855"/>
            <w:shd w:val="clear" w:fill="F2F6FB"/>
          </w:tcPr>
          <w:p>
            <w:pPr>
              <w:spacing w:after="40" w:before="40"/>
            </w:pPr>
            <w:r/>
            <w:r>
              <w:rPr>
                <w:sz w:val="18"/>
              </w:rPr>
              <w:t>value basis</w:t>
            </w:r>
          </w:p>
        </w:tc>
      </w:tr>
      <w:tr>
        <w:tc>
          <w:tcPr>
            <w:tcW w:type="dxa" w:w="3628"/>
          </w:tcPr>
          <w:p>
            <w:pPr>
              <w:spacing w:after="40" w:before="40"/>
            </w:pPr>
            <w:r/>
            <w:r>
              <w:rPr>
                <w:sz w:val="18"/>
              </w:rPr>
              <w:t>Outstanding Liability</w:t>
            </w:r>
          </w:p>
        </w:tc>
        <w:tc>
          <w:tcPr>
            <w:tcW w:type="dxa" w:w="1928"/>
          </w:tcPr>
          <w:p>
            <w:pPr>
              <w:spacing w:after="40" w:before="40"/>
              <w:jc w:val="right"/>
            </w:pPr>
            <w:r/>
            <w:r>
              <w:rPr>
                <w:sz w:val="18"/>
              </w:rPr>
              <w:t>R3.5m</w:t>
            </w:r>
          </w:p>
        </w:tc>
        <w:tc>
          <w:tcPr>
            <w:tcW w:type="dxa" w:w="3855"/>
          </w:tcPr>
          <w:p>
            <w:pPr>
              <w:spacing w:after="40" w:before="40"/>
            </w:pPr>
            <w:r/>
            <w:r>
              <w:rPr>
                <w:sz w:val="18"/>
              </w:rPr>
              <w:t>balance-sheet liability</w:t>
            </w:r>
          </w:p>
        </w:tc>
      </w:tr>
      <w:tr>
        <w:tc>
          <w:tcPr>
            <w:tcW w:type="dxa" w:w="3628"/>
            <w:shd w:val="clear" w:fill="F2F6FB"/>
          </w:tcPr>
          <w:p>
            <w:pPr>
              <w:spacing w:after="40" w:before="40"/>
            </w:pPr>
            <w:r/>
            <w:r>
              <w:rPr>
                <w:sz w:val="18"/>
              </w:rPr>
              <w:t>Avg Days to Redeem</w:t>
            </w:r>
          </w:p>
        </w:tc>
        <w:tc>
          <w:tcPr>
            <w:tcW w:type="dxa" w:w="1928"/>
            <w:shd w:val="clear" w:fill="F2F6FB"/>
          </w:tcPr>
          <w:p>
            <w:pPr>
              <w:spacing w:after="40" w:before="40"/>
              <w:jc w:val="right"/>
            </w:pPr>
            <w:r/>
            <w:r>
              <w:rPr>
                <w:sz w:val="18"/>
              </w:rPr>
              <w:t>3.58</w:t>
            </w:r>
          </w:p>
        </w:tc>
        <w:tc>
          <w:tcPr>
            <w:tcW w:type="dxa" w:w="3855"/>
            <w:shd w:val="clear" w:fill="F2F6FB"/>
          </w:tcPr>
          <w:p>
            <w:pPr>
              <w:spacing w:after="40" w:before="40"/>
            </w:pPr>
            <w:r/>
            <w:r>
              <w:rPr>
                <w:sz w:val="18"/>
              </w:rPr>
              <w:t>redeemed vouchers only</w:t>
            </w:r>
          </w:p>
        </w:tc>
      </w:tr>
      <w:tr>
        <w:tc>
          <w:tcPr>
            <w:tcW w:type="dxa" w:w="3628"/>
          </w:tcPr>
          <w:p>
            <w:pPr>
              <w:spacing w:after="40" w:before="40"/>
            </w:pPr>
            <w:r/>
            <w:r>
              <w:rPr>
                <w:sz w:val="18"/>
              </w:rPr>
              <w:t>SLA Breach Rate %</w:t>
            </w:r>
          </w:p>
        </w:tc>
        <w:tc>
          <w:tcPr>
            <w:tcW w:type="dxa" w:w="1928"/>
          </w:tcPr>
          <w:p>
            <w:pPr>
              <w:spacing w:after="40" w:before="40"/>
              <w:jc w:val="right"/>
            </w:pPr>
            <w:r/>
            <w:r>
              <w:rPr>
                <w:sz w:val="18"/>
              </w:rPr>
              <w:t>26.27%</w:t>
            </w:r>
          </w:p>
        </w:tc>
        <w:tc>
          <w:tcPr>
            <w:tcW w:type="dxa" w:w="3855"/>
          </w:tcPr>
          <w:p>
            <w:pPr>
              <w:spacing w:after="40" w:before="40"/>
            </w:pPr>
            <w:r/>
            <w:r>
              <w:rPr>
                <w:sz w:val="18"/>
              </w:rPr>
              <w:t>358 of 1,363</w:t>
            </w:r>
          </w:p>
        </w:tc>
      </w:tr>
      <w:tr>
        <w:tc>
          <w:tcPr>
            <w:tcW w:type="dxa" w:w="3628"/>
            <w:shd w:val="clear" w:fill="F2F6FB"/>
          </w:tcPr>
          <w:p>
            <w:pPr>
              <w:spacing w:after="40" w:before="40"/>
            </w:pPr>
            <w:r/>
            <w:r>
              <w:rPr>
                <w:sz w:val="18"/>
              </w:rPr>
              <w:t>Breach Concentration in High Priority %</w:t>
            </w:r>
          </w:p>
        </w:tc>
        <w:tc>
          <w:tcPr>
            <w:tcW w:type="dxa" w:w="1928"/>
            <w:shd w:val="clear" w:fill="F2F6FB"/>
          </w:tcPr>
          <w:p>
            <w:pPr>
              <w:spacing w:after="40" w:before="40"/>
              <w:jc w:val="right"/>
            </w:pPr>
            <w:r/>
            <w:r>
              <w:rPr>
                <w:sz w:val="18"/>
              </w:rPr>
              <w:t>94.7%</w:t>
            </w:r>
          </w:p>
        </w:tc>
        <w:tc>
          <w:tcPr>
            <w:tcW w:type="dxa" w:w="3855"/>
            <w:shd w:val="clear" w:fill="F2F6FB"/>
          </w:tcPr>
          <w:p>
            <w:pPr>
              <w:spacing w:after="40" w:before="40"/>
            </w:pPr>
            <w:r/>
            <w:r>
              <w:rPr>
                <w:sz w:val="18"/>
              </w:rPr>
              <w:t>the headline ops finding</w:t>
            </w:r>
          </w:p>
        </w:tc>
      </w:tr>
      <w:tr>
        <w:tc>
          <w:tcPr>
            <w:tcW w:type="dxa" w:w="3628"/>
          </w:tcPr>
          <w:p>
            <w:pPr>
              <w:spacing w:after="40" w:before="40"/>
            </w:pPr>
            <w:r/>
            <w:r>
              <w:rPr>
                <w:sz w:val="18"/>
              </w:rPr>
              <w:t>Implied SLA for 90% Compliance</w:t>
            </w:r>
          </w:p>
        </w:tc>
        <w:tc>
          <w:tcPr>
            <w:tcW w:type="dxa" w:w="1928"/>
          </w:tcPr>
          <w:p>
            <w:pPr>
              <w:spacing w:after="40" w:before="40"/>
              <w:jc w:val="right"/>
            </w:pPr>
            <w:r/>
            <w:r>
              <w:rPr>
                <w:sz w:val="18"/>
              </w:rPr>
              <w:t>48.6h</w:t>
            </w:r>
          </w:p>
        </w:tc>
        <w:tc>
          <w:tcPr>
            <w:tcW w:type="dxa" w:w="3855"/>
          </w:tcPr>
          <w:p>
            <w:pPr>
              <w:spacing w:after="40" w:before="40"/>
            </w:pPr>
            <w:r/>
            <w:r>
              <w:rPr>
                <w:sz w:val="18"/>
              </w:rPr>
              <w:t>what the target should be</w:t>
            </w:r>
          </w:p>
        </w:tc>
      </w:tr>
      <w:tr>
        <w:tc>
          <w:tcPr>
            <w:tcW w:type="dxa" w:w="3628"/>
            <w:shd w:val="clear" w:fill="F2F6FB"/>
          </w:tcPr>
          <w:p>
            <w:pPr>
              <w:spacing w:after="40" w:before="40"/>
            </w:pPr>
            <w:r/>
            <w:r>
              <w:rPr>
                <w:sz w:val="18"/>
              </w:rPr>
              <w:t>Revenue Concentration (Top 5) %</w:t>
            </w:r>
          </w:p>
        </w:tc>
        <w:tc>
          <w:tcPr>
            <w:tcW w:type="dxa" w:w="1928"/>
            <w:shd w:val="clear" w:fill="F2F6FB"/>
          </w:tcPr>
          <w:p>
            <w:pPr>
              <w:spacing w:after="40" w:before="40"/>
              <w:jc w:val="right"/>
            </w:pPr>
            <w:r/>
            <w:r>
              <w:rPr>
                <w:sz w:val="18"/>
              </w:rPr>
              <w:t>35.4%</w:t>
            </w:r>
          </w:p>
        </w:tc>
        <w:tc>
          <w:tcPr>
            <w:tcW w:type="dxa" w:w="3855"/>
            <w:shd w:val="clear" w:fill="F2F6FB"/>
          </w:tcPr>
          <w:p>
            <w:pPr>
              <w:spacing w:after="40" w:before="40"/>
            </w:pPr>
            <w:r/>
            <w:r>
              <w:rPr>
                <w:sz w:val="18"/>
              </w:rPr>
              <w:t>concentration risk</w:t>
            </w:r>
          </w:p>
        </w:tc>
      </w:tr>
    </w:tbl>
    <w:p>
      <w:pPr>
        <w:spacing w:after="80"/>
      </w:pPr>
    </w:p>
    <w:p>
      <w:pPr>
        <w:pStyle w:val="Heading2"/>
      </w:pPr>
      <w:r>
        <w:t>Report pages</w:t>
      </w:r>
    </w:p>
    <w:tbl>
      <w:tblPr>
        <w:tblStyle w:val="TableGrid"/>
        <w:tblW w:type="auto" w:w="0"/>
        <w:jc w:val="center"/>
        <w:tblLook w:firstColumn="1" w:firstRow="1" w:lastColumn="0" w:lastRow="0" w:noHBand="0" w:noVBand="1" w:val="04A0"/>
      </w:tblPr>
      <w:tblGrid>
        <w:gridCol w:w="3175"/>
        <w:gridCol w:w="3175"/>
        <w:gridCol w:w="3175"/>
      </w:tblGrid>
      <w:tr>
        <w:tc>
          <w:tcPr>
            <w:tcW w:type="dxa" w:w="2041"/>
            <w:shd w:val="clear" w:fill="12305B"/>
          </w:tcPr>
          <w:p>
            <w:pPr>
              <w:spacing w:after="40" w:before="40"/>
            </w:pPr>
            <w:r/>
            <w:r>
              <w:rPr>
                <w:b/>
                <w:color w:val="FFFFFF"/>
                <w:sz w:val="18"/>
              </w:rPr>
              <w:t>Page</w:t>
            </w:r>
          </w:p>
        </w:tc>
        <w:tc>
          <w:tcPr>
            <w:tcW w:type="dxa" w:w="3628"/>
            <w:shd w:val="clear" w:fill="12305B"/>
          </w:tcPr>
          <w:p>
            <w:pPr>
              <w:spacing w:after="40" w:before="40"/>
            </w:pPr>
            <w:r/>
            <w:r>
              <w:rPr>
                <w:b/>
                <w:color w:val="FFFFFF"/>
                <w:sz w:val="18"/>
              </w:rPr>
              <w:t>Contents</w:t>
            </w:r>
          </w:p>
        </w:tc>
        <w:tc>
          <w:tcPr>
            <w:tcW w:type="dxa" w:w="3742"/>
            <w:shd w:val="clear" w:fill="12305B"/>
          </w:tcPr>
          <w:p>
            <w:pPr>
              <w:spacing w:after="40" w:before="40"/>
            </w:pPr>
            <w:r/>
            <w:r>
              <w:rPr>
                <w:b/>
                <w:color w:val="FFFFFF"/>
                <w:sz w:val="18"/>
              </w:rPr>
              <w:t>Interaction</w:t>
            </w:r>
          </w:p>
        </w:tc>
      </w:tr>
      <w:tr>
        <w:tc>
          <w:tcPr>
            <w:tcW w:type="dxa" w:w="2041"/>
          </w:tcPr>
          <w:p>
            <w:pPr>
              <w:spacing w:after="40" w:before="40"/>
            </w:pPr>
            <w:r/>
            <w:r>
              <w:rPr>
                <w:sz w:val="18"/>
              </w:rPr>
              <w:t>1. Executive Overview</w:t>
            </w:r>
          </w:p>
        </w:tc>
        <w:tc>
          <w:tcPr>
            <w:tcW w:type="dxa" w:w="3628"/>
          </w:tcPr>
          <w:p>
            <w:pPr>
              <w:spacing w:after="40" w:before="40"/>
            </w:pPr>
            <w:r/>
            <w:r>
              <w:rPr>
                <w:sz w:val="18"/>
              </w:rPr>
              <w:t>Total sales, transactions, redemption %, avg resolution hours, sales trend, region performance, top merchants</w:t>
            </w:r>
          </w:p>
        </w:tc>
        <w:tc>
          <w:tcPr>
            <w:tcW w:type="dxa" w:w="3742"/>
          </w:tcPr>
          <w:p>
            <w:pPr>
              <w:spacing w:after="40" w:before="40"/>
            </w:pPr>
            <w:r/>
            <w:r>
              <w:rPr>
                <w:sz w:val="18"/>
              </w:rPr>
              <w:t>Slicers on date, region, channel, voucher type. Right-click → drill through to Merchant Detail</w:t>
            </w:r>
          </w:p>
        </w:tc>
      </w:tr>
      <w:tr>
        <w:tc>
          <w:tcPr>
            <w:tcW w:type="dxa" w:w="2041"/>
            <w:shd w:val="clear" w:fill="F2F6FB"/>
          </w:tcPr>
          <w:p>
            <w:pPr>
              <w:spacing w:after="40" w:before="40"/>
            </w:pPr>
            <w:r/>
            <w:r>
              <w:rPr>
                <w:sz w:val="18"/>
              </w:rPr>
              <w:t>2. Merchant Analysis</w:t>
            </w:r>
          </w:p>
        </w:tc>
        <w:tc>
          <w:tcPr>
            <w:tcW w:type="dxa" w:w="3628"/>
            <w:shd w:val="clear" w:fill="F2F6FB"/>
          </w:tcPr>
          <w:p>
            <w:pPr>
              <w:spacing w:after="40" w:before="40"/>
            </w:pPr>
            <w:r/>
            <w:r>
              <w:rPr>
                <w:sz w:val="18"/>
              </w:rPr>
              <w:t>Top and bottom merchants, voucher type performance, ranking, Pareto contribution, health scorecard</w:t>
            </w:r>
          </w:p>
        </w:tc>
        <w:tc>
          <w:tcPr>
            <w:tcW w:type="dxa" w:w="3742"/>
            <w:shd w:val="clear" w:fill="F2F6FB"/>
          </w:tcPr>
          <w:p>
            <w:pPr>
              <w:spacing w:after="40" w:before="40"/>
            </w:pPr>
            <w:r/>
            <w:r>
              <w:rPr>
                <w:sz w:val="18"/>
              </w:rPr>
              <w:t>Drill-through target page; tooltip page shows a 6-month sparkline and the narrative measure</w:t>
            </w:r>
          </w:p>
        </w:tc>
      </w:tr>
      <w:tr>
        <w:tc>
          <w:tcPr>
            <w:tcW w:type="dxa" w:w="2041"/>
          </w:tcPr>
          <w:p>
            <w:pPr>
              <w:spacing w:after="40" w:before="40"/>
            </w:pPr>
            <w:r/>
            <w:r>
              <w:rPr>
                <w:sz w:val="18"/>
              </w:rPr>
              <w:t>3. Operational View</w:t>
            </w:r>
          </w:p>
        </w:tc>
        <w:tc>
          <w:tcPr>
            <w:tcW w:type="dxa" w:w="3628"/>
          </w:tcPr>
          <w:p>
            <w:pPr>
              <w:spacing w:after="40" w:before="40"/>
            </w:pPr>
            <w:r/>
            <w:r>
              <w:rPr>
                <w:sz w:val="18"/>
              </w:rPr>
              <w:t>Ticket volume, priority mix, avg resolution hours, SLA risk, ticket trends, merchant-level issues</w:t>
            </w:r>
          </w:p>
        </w:tc>
        <w:tc>
          <w:tcPr>
            <w:tcW w:type="dxa" w:w="3742"/>
          </w:tcPr>
          <w:p>
            <w:pPr>
              <w:spacing w:after="40" w:before="40"/>
            </w:pPr>
            <w:r/>
            <w:r>
              <w:rPr>
                <w:sz w:val="18"/>
              </w:rPr>
              <w:t>Cross-filter from priority to merchant; conditional formatting driven by DAX colour measures</w:t>
            </w:r>
          </w:p>
        </w:tc>
      </w:tr>
      <w:tr>
        <w:tc>
          <w:tcPr>
            <w:tcW w:type="dxa" w:w="2041"/>
            <w:shd w:val="clear" w:fill="F2F6FB"/>
          </w:tcPr>
          <w:p>
            <w:pPr>
              <w:spacing w:after="40" w:before="40"/>
            </w:pPr>
            <w:r/>
            <w:r>
              <w:rPr>
                <w:sz w:val="18"/>
              </w:rPr>
              <w:t>4. Insights / Notes</w:t>
            </w:r>
          </w:p>
        </w:tc>
        <w:tc>
          <w:tcPr>
            <w:tcW w:type="dxa" w:w="3628"/>
            <w:shd w:val="clear" w:fill="F2F6FB"/>
          </w:tcPr>
          <w:p>
            <w:pPr>
              <w:spacing w:after="40" w:before="40"/>
            </w:pPr>
            <w:r/>
            <w:r>
              <w:rPr>
                <w:sz w:val="18"/>
              </w:rPr>
              <w:t>Narrative summary, assumptions, data-quality issues, recommended next steps, ML output</w:t>
            </w:r>
          </w:p>
        </w:tc>
        <w:tc>
          <w:tcPr>
            <w:tcW w:type="dxa" w:w="3742"/>
            <w:shd w:val="clear" w:fill="F2F6FB"/>
          </w:tcPr>
          <w:p>
            <w:pPr>
              <w:spacing w:after="40" w:before="40"/>
            </w:pPr>
            <w:r/>
            <w:r>
              <w:rPr>
                <w:sz w:val="18"/>
              </w:rPr>
              <w:t>Q&amp;A visual with configured synonyms; smart narrative</w:t>
            </w:r>
          </w:p>
        </w:tc>
      </w:tr>
    </w:tbl>
    <w:p>
      <w:pPr>
        <w:spacing w:after="80"/>
      </w:pPr>
    </w:p>
    <w:p>
      <w:pPr>
        <w:pStyle w:val="Heading2"/>
      </w:pPr>
      <w:r>
        <w:t>Conditional formatting</w:t>
      </w:r>
    </w:p>
    <w:p>
      <w:pPr>
        <w:spacing w:after="140" w:before="0"/>
      </w:pPr>
      <w:r>
        <w:rPr>
          <w:b w:val="0"/>
          <w:i w:val="0"/>
          <w:sz w:val="21"/>
        </w:rPr>
        <w:t>Colour is semantic rather than decorative: red always means a threshold breach, green always means healthy, amber always means watch. Thresholds live in DAX measures (Colour | Sales MoM, Colour | SLA Breach, Colour | Redemption Rate) bound to 'Field value' in the formatting pane. Centralising them means the whole report restates consistently when a threshold changes, instead of needing each visual edited by hand.</w:t>
      </w:r>
    </w:p>
    <w:p>
      <w:r>
        <w:br w:type="page"/>
      </w:r>
    </w:p>
    <w:p>
      <w:pPr>
        <w:pStyle w:val="Heading1"/>
      </w:pPr>
      <w:r>
        <w:t>6. AI and machine learning extension</w:t>
      </w:r>
    </w:p>
    <w:p>
      <w:pPr>
        <w:spacing w:after="140" w:before="0"/>
      </w:pPr>
      <w:r>
        <w:rPr>
          <w:b w:val="0"/>
          <w:i w:val="0"/>
          <w:sz w:val="21"/>
        </w:rPr>
        <w:t>Five models, trained in a Fabric notebook, logged to MLflow, with scored outputs written back to the gold layer as Delta tables. Power BI then reads predictions as ordinary columns rather than calling a model at query time — a live endpoint call per visual would add latency to every page render and couple report availability to endpoint availability, for no analytical gain given the data changes once a day.</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1928"/>
            <w:shd w:val="clear" w:fill="12305B"/>
          </w:tcPr>
          <w:p>
            <w:pPr>
              <w:spacing w:after="40" w:before="40"/>
            </w:pPr>
            <w:r/>
            <w:r>
              <w:rPr>
                <w:b/>
                <w:color w:val="FFFFFF"/>
                <w:sz w:val="17"/>
              </w:rPr>
              <w:t>Model</w:t>
            </w:r>
          </w:p>
        </w:tc>
        <w:tc>
          <w:tcPr>
            <w:tcW w:type="dxa" w:w="2381"/>
            <w:shd w:val="clear" w:fill="12305B"/>
          </w:tcPr>
          <w:p>
            <w:pPr>
              <w:spacing w:after="40" w:before="40"/>
            </w:pPr>
            <w:r/>
            <w:r>
              <w:rPr>
                <w:b/>
                <w:color w:val="FFFFFF"/>
                <w:sz w:val="17"/>
              </w:rPr>
              <w:t>Algorithm</w:t>
            </w:r>
          </w:p>
        </w:tc>
        <w:tc>
          <w:tcPr>
            <w:tcW w:type="dxa" w:w="2494"/>
            <w:shd w:val="clear" w:fill="12305B"/>
          </w:tcPr>
          <w:p>
            <w:pPr>
              <w:spacing w:after="40" w:before="40"/>
            </w:pPr>
            <w:r/>
            <w:r>
              <w:rPr>
                <w:b/>
                <w:color w:val="FFFFFF"/>
                <w:sz w:val="17"/>
              </w:rPr>
              <w:t>Validation</w:t>
            </w:r>
          </w:p>
        </w:tc>
        <w:tc>
          <w:tcPr>
            <w:tcW w:type="dxa" w:w="2608"/>
            <w:shd w:val="clear" w:fill="12305B"/>
          </w:tcPr>
          <w:p>
            <w:pPr>
              <w:spacing w:after="40" w:before="40"/>
            </w:pPr>
            <w:r/>
            <w:r>
              <w:rPr>
                <w:b/>
                <w:color w:val="FFFFFF"/>
                <w:sz w:val="17"/>
              </w:rPr>
              <w:t>Result</w:t>
            </w:r>
          </w:p>
        </w:tc>
      </w:tr>
      <w:tr>
        <w:tc>
          <w:tcPr>
            <w:tcW w:type="dxa" w:w="1928"/>
          </w:tcPr>
          <w:p>
            <w:pPr>
              <w:spacing w:after="40" w:before="40"/>
            </w:pPr>
            <w:r/>
            <w:r>
              <w:rPr>
                <w:sz w:val="17"/>
              </w:rPr>
              <w:t>1. Anomaly detection</w:t>
            </w:r>
          </w:p>
        </w:tc>
        <w:tc>
          <w:tcPr>
            <w:tcW w:type="dxa" w:w="2381"/>
          </w:tcPr>
          <w:p>
            <w:pPr>
              <w:spacing w:after="40" w:before="40"/>
            </w:pPr>
            <w:r/>
            <w:r>
              <w:rPr>
                <w:sz w:val="17"/>
              </w:rPr>
              <w:t>Isolation Forest (400 trees)</w:t>
            </w:r>
          </w:p>
        </w:tc>
        <w:tc>
          <w:tcPr>
            <w:tcW w:type="dxa" w:w="2494"/>
          </w:tcPr>
          <w:p>
            <w:pPr>
              <w:spacing w:after="40" w:before="40"/>
            </w:pPr>
            <w:r/>
            <w:r>
              <w:rPr>
                <w:sz w:val="17"/>
              </w:rPr>
              <w:t>Unsupervised; validated against 4 documented embedded patterns</w:t>
            </w:r>
          </w:p>
        </w:tc>
        <w:tc>
          <w:tcPr>
            <w:tcW w:type="dxa" w:w="2608"/>
          </w:tcPr>
          <w:p>
            <w:pPr>
              <w:spacing w:after="40" w:before="40"/>
            </w:pPr>
            <w:r/>
            <w:r>
              <w:rPr>
                <w:sz w:val="17"/>
              </w:rPr>
              <w:t>8 anomalies from 150 obs — all 4 patterns recovered</w:t>
            </w:r>
          </w:p>
        </w:tc>
      </w:tr>
      <w:tr>
        <w:tc>
          <w:tcPr>
            <w:tcW w:type="dxa" w:w="1928"/>
            <w:shd w:val="clear" w:fill="F2F6FB"/>
          </w:tcPr>
          <w:p>
            <w:pPr>
              <w:spacing w:after="40" w:before="40"/>
            </w:pPr>
            <w:r/>
            <w:r>
              <w:rPr>
                <w:sz w:val="17"/>
              </w:rPr>
              <w:t>2. Redemption propensity</w:t>
            </w:r>
          </w:p>
        </w:tc>
        <w:tc>
          <w:tcPr>
            <w:tcW w:type="dxa" w:w="2381"/>
            <w:shd w:val="clear" w:fill="F2F6FB"/>
          </w:tcPr>
          <w:p>
            <w:pPr>
              <w:spacing w:after="40" w:before="40"/>
            </w:pPr>
            <w:r/>
            <w:r>
              <w:rPr>
                <w:sz w:val="17"/>
              </w:rPr>
              <w:t>HistGradientBoostingClassifier</w:t>
            </w:r>
          </w:p>
        </w:tc>
        <w:tc>
          <w:tcPr>
            <w:tcW w:type="dxa" w:w="2494"/>
            <w:shd w:val="clear" w:fill="F2F6FB"/>
          </w:tcPr>
          <w:p>
            <w:pPr>
              <w:spacing w:after="40" w:before="40"/>
            </w:pPr>
            <w:r/>
            <w:r>
              <w:rPr>
                <w:sz w:val="17"/>
              </w:rPr>
              <w:t>Time split: train Jan–May, test Jun–Jul</w:t>
            </w:r>
          </w:p>
        </w:tc>
        <w:tc>
          <w:tcPr>
            <w:tcW w:type="dxa" w:w="2608"/>
            <w:shd w:val="clear" w:fill="F2F6FB"/>
          </w:tcPr>
          <w:p>
            <w:pPr>
              <w:spacing w:after="40" w:before="40"/>
            </w:pPr>
            <w:r/>
            <w:r>
              <w:rPr>
                <w:sz w:val="17"/>
              </w:rPr>
              <w:t>AUC 0.620 vs ceiling 0.621</w:t>
            </w:r>
          </w:p>
        </w:tc>
      </w:tr>
      <w:tr>
        <w:tc>
          <w:tcPr>
            <w:tcW w:type="dxa" w:w="1928"/>
          </w:tcPr>
          <w:p>
            <w:pPr>
              <w:spacing w:after="40" w:before="40"/>
            </w:pPr>
            <w:r/>
            <w:r>
              <w:rPr>
                <w:sz w:val="17"/>
              </w:rPr>
              <w:t>3. Resolution time</w:t>
            </w:r>
          </w:p>
        </w:tc>
        <w:tc>
          <w:tcPr>
            <w:tcW w:type="dxa" w:w="2381"/>
          </w:tcPr>
          <w:p>
            <w:pPr>
              <w:spacing w:after="40" w:before="40"/>
            </w:pPr>
            <w:r/>
            <w:r>
              <w:rPr>
                <w:sz w:val="17"/>
              </w:rPr>
              <w:t>HistGradientBoostingRegressor</w:t>
            </w:r>
          </w:p>
        </w:tc>
        <w:tc>
          <w:tcPr>
            <w:tcW w:type="dxa" w:w="2494"/>
          </w:tcPr>
          <w:p>
            <w:pPr>
              <w:spacing w:after="40" w:before="40"/>
            </w:pPr>
            <w:r/>
            <w:r>
              <w:rPr>
                <w:sz w:val="17"/>
              </w:rPr>
              <w:t>Time split: train Jan–May, test Jun–Jul</w:t>
            </w:r>
          </w:p>
        </w:tc>
        <w:tc>
          <w:tcPr>
            <w:tcW w:type="dxa" w:w="2608"/>
          </w:tcPr>
          <w:p>
            <w:pPr>
              <w:spacing w:after="40" w:before="40"/>
            </w:pPr>
            <w:r/>
            <w:r>
              <w:rPr>
                <w:sz w:val="17"/>
              </w:rPr>
              <w:t>MAE 9.8h, 23.4% better than naive</w:t>
            </w:r>
          </w:p>
        </w:tc>
      </w:tr>
      <w:tr>
        <w:tc>
          <w:tcPr>
            <w:tcW w:type="dxa" w:w="1928"/>
            <w:shd w:val="clear" w:fill="F2F6FB"/>
          </w:tcPr>
          <w:p>
            <w:pPr>
              <w:spacing w:after="40" w:before="40"/>
            </w:pPr>
            <w:r/>
            <w:r>
              <w:rPr>
                <w:sz w:val="17"/>
              </w:rPr>
              <w:t>4. Sales forecast</w:t>
            </w:r>
          </w:p>
        </w:tc>
        <w:tc>
          <w:tcPr>
            <w:tcW w:type="dxa" w:w="2381"/>
            <w:shd w:val="clear" w:fill="F2F6FB"/>
          </w:tcPr>
          <w:p>
            <w:pPr>
              <w:spacing w:after="40" w:before="40"/>
            </w:pPr>
            <w:r/>
            <w:r>
              <w:rPr>
                <w:sz w:val="17"/>
              </w:rPr>
              <w:t>Holt-Winters (weekly seasonality)</w:t>
            </w:r>
          </w:p>
        </w:tc>
        <w:tc>
          <w:tcPr>
            <w:tcW w:type="dxa" w:w="2494"/>
            <w:shd w:val="clear" w:fill="F2F6FB"/>
          </w:tcPr>
          <w:p>
            <w:pPr>
              <w:spacing w:after="40" w:before="40"/>
            </w:pPr>
            <w:r/>
            <w:r>
              <w:rPr>
                <w:sz w:val="17"/>
              </w:rPr>
              <w:t>Backtest on held-out final 30 days</w:t>
            </w:r>
          </w:p>
        </w:tc>
        <w:tc>
          <w:tcPr>
            <w:tcW w:type="dxa" w:w="2608"/>
            <w:shd w:val="clear" w:fill="F2F6FB"/>
          </w:tcPr>
          <w:p>
            <w:pPr>
              <w:spacing w:after="40" w:before="40"/>
            </w:pPr>
            <w:r/>
            <w:r>
              <w:rPr>
                <w:sz w:val="17"/>
              </w:rPr>
              <w:t>MAPE 4.69%, 49.7% better than naive</w:t>
            </w:r>
          </w:p>
        </w:tc>
      </w:tr>
      <w:tr>
        <w:tc>
          <w:tcPr>
            <w:tcW w:type="dxa" w:w="1928"/>
          </w:tcPr>
          <w:p>
            <w:pPr>
              <w:spacing w:after="40" w:before="40"/>
            </w:pPr>
            <w:r/>
            <w:r>
              <w:rPr>
                <w:sz w:val="17"/>
              </w:rPr>
              <w:t>5. Segmentation</w:t>
            </w:r>
          </w:p>
        </w:tc>
        <w:tc>
          <w:tcPr>
            <w:tcW w:type="dxa" w:w="2381"/>
          </w:tcPr>
          <w:p>
            <w:pPr>
              <w:spacing w:after="40" w:before="40"/>
            </w:pPr>
            <w:r/>
            <w:r>
              <w:rPr>
                <w:sz w:val="17"/>
              </w:rPr>
              <w:t>K-Means (k=4)</w:t>
            </w:r>
          </w:p>
        </w:tc>
        <w:tc>
          <w:tcPr>
            <w:tcW w:type="dxa" w:w="2494"/>
          </w:tcPr>
          <w:p>
            <w:pPr>
              <w:spacing w:after="40" w:before="40"/>
            </w:pPr>
            <w:r/>
            <w:r>
              <w:rPr>
                <w:sz w:val="17"/>
              </w:rPr>
              <w:t>Silhouette compared across k=2..7</w:t>
            </w:r>
          </w:p>
        </w:tc>
        <w:tc>
          <w:tcPr>
            <w:tcW w:type="dxa" w:w="2608"/>
          </w:tcPr>
          <w:p>
            <w:pPr>
              <w:spacing w:after="40" w:before="40"/>
            </w:pPr>
            <w:r/>
            <w:r>
              <w:rPr>
                <w:sz w:val="17"/>
              </w:rPr>
              <w:t>4 segments; 2 singleton outliers identified automatically</w:t>
            </w:r>
          </w:p>
        </w:tc>
      </w:tr>
    </w:tbl>
    <w:p>
      <w:pPr>
        <w:spacing w:after="80"/>
      </w:pPr>
    </w:p>
    <w:p>
      <w:pPr>
        <w:pStyle w:val="Heading2"/>
      </w:pPr>
      <w:r>
        <w:t>Anomaly detection — and how it was validated</w:t>
      </w:r>
    </w:p>
    <w:p>
      <w:pPr>
        <w:spacing w:after="140"/>
      </w:pPr>
      <w:r>
        <w:rPr>
          <w:b w:val="0"/>
          <w:sz w:val="21"/>
        </w:rPr>
        <w:t xml:space="preserve">The design decision that makes the model useful is that every feature is expressed as a deviation from that merchant's </w:t>
      </w:r>
      <w:r>
        <w:rPr>
          <w:b/>
          <w:sz w:val="21"/>
        </w:rPr>
        <w:t>own</w:t>
      </w:r>
      <w:r>
        <w:rPr>
          <w:b w:val="0"/>
          <w:sz w:val="21"/>
        </w:rPr>
        <w:t xml:space="preserve"> expanding history, not as an absolute value. Absolute features would rank merchants by size — the model would flag the largest accounts every month and never notice a small merchant collapsing.</w:t>
      </w:r>
    </w:p>
    <w:p>
      <w:pPr>
        <w:spacing w:after="140"/>
      </w:pPr>
      <w:r>
        <w:rPr>
          <w:b/>
          <w:color w:val="0E8B8B"/>
          <w:sz w:val="21"/>
        </w:rPr>
        <w:t xml:space="preserve">Validation. </w:t>
      </w:r>
      <w:r>
        <w:rPr>
          <w:b w:val="0"/>
          <w:sz w:val="21"/>
        </w:rPr>
        <w:t>The dataset documentation states that four patterns were deliberately embedded. The model was never told what they were, and recovered all four unprompted: Umhlanga Value Mart's July collapse (ranked #1 by anomaly score), Kudu Digital Kiosk's May growth step, Durban Cash Hub's June ticket spike, and a Liberty Lane redemption-delay month. Every flagged row also carries a plain-English explanation, because a score with no reason attached does not get acted on.</w:t>
      </w:r>
    </w:p>
    <w:p>
      <w:pPr>
        <w:pStyle w:val="Heading2"/>
      </w:pPr>
      <w:r>
        <w:t>Reporting a weak metric honestly</w:t>
      </w:r>
    </w:p>
    <w:p>
      <w:pPr>
        <w:spacing w:after="140"/>
      </w:pPr>
      <w:r>
        <w:rPr>
          <w:b w:val="0"/>
          <w:sz w:val="21"/>
        </w:rPr>
        <w:t xml:space="preserve">The redemption propensity model scores AUC </w:t>
      </w:r>
      <w:r>
        <w:rPr>
          <w:b/>
          <w:color w:val="12305B"/>
          <w:sz w:val="21"/>
        </w:rPr>
        <w:t>0.620</w:t>
      </w:r>
      <w:r>
        <w:rPr>
          <w:b w:val="0"/>
          <w:sz w:val="21"/>
        </w:rPr>
        <w:t xml:space="preserve">, which looks weak. Rather than explaining it away or quietly dropping the model, it was tested against a theoretical ceiling. If redemption is generated purely as a function of voucher type, the best any model can achieve is to predict the type-level base rate — an oracle that scores AUC </w:t>
      </w:r>
      <w:r>
        <w:rPr>
          <w:b/>
          <w:color w:val="12305B"/>
          <w:sz w:val="21"/>
        </w:rPr>
        <w:t>0.621</w:t>
      </w:r>
      <w:r>
        <w:rPr>
          <w:b w:val="0"/>
          <w:sz w:val="21"/>
        </w:rPr>
        <w:t xml:space="preserve">. The model therefore captures </w:t>
      </w:r>
      <w:r>
        <w:rPr>
          <w:b/>
          <w:color w:val="0E8B8B"/>
          <w:sz w:val="21"/>
        </w:rPr>
        <w:t>99.8%</w:t>
      </w:r>
      <w:r>
        <w:rPr>
          <w:b w:val="0"/>
          <w:sz w:val="21"/>
        </w:rPr>
        <w:t xml:space="preserve"> of the achievable signal: the limit is the data, not the model. Establishing that distinction is what stops a team spending a sprint chasing an AUC that cannot move.</w:t>
      </w:r>
    </w:p>
    <w:p>
      <w:pPr>
        <w:spacing w:after="140" w:before="0"/>
      </w:pPr>
      <w:r>
        <w:rPr>
          <w:b w:val="0"/>
          <w:i w:val="0"/>
          <w:sz w:val="21"/>
        </w:rPr>
        <w:t>The ranking remains operationally useful regardless: the top risk decile carries 3.4× the non-redemption rate of the bottom decile, concentrating R171,689 of at-risk value into 10% of vouchers — which is exactly what a targeted reminder campaign needs.</w:t>
      </w:r>
    </w:p>
    <w:tbl>
      <w:tblPr>
        <w:tblStyle w:val="TableGrid"/>
        <w:tblW w:type="auto" w:w="0"/>
        <w:tblLook w:firstColumn="1" w:firstRow="1" w:lastColumn="0" w:lastRow="0" w:noHBand="0" w:noVBand="1" w:val="04A0"/>
      </w:tblPr>
      <w:tblGrid>
        <w:gridCol w:w="9524"/>
      </w:tblGrid>
      <w:tr>
        <w:tc>
          <w:tcPr>
            <w:tcW w:type="dxa" w:w="9524"/>
            <w:shd w:val="clear" w:fill="F0F9F9"/>
          </w:tcPr>
          <w:p>
            <w:r/>
            <w:r>
              <w:rPr>
                <w:b/>
                <w:color w:val="0E8B8B"/>
                <w:sz w:val="20"/>
              </w:rPr>
              <w:t>Validation discipline applied throughout</w:t>
            </w:r>
          </w:p>
          <w:p>
            <w:pPr>
              <w:spacing w:after="60"/>
            </w:pPr>
            <w:r>
              <w:rPr>
                <w:sz w:val="19"/>
              </w:rPr>
              <w:t>Every supervised model uses a time-based split (train January–May, test June–July), never a random one. A random split leaks future information into training and produces a metric that will not survive contact with production. An honest 0.62 that holds is worth more than an inflated 0.85 that does not.</w:t>
            </w:r>
          </w:p>
        </w:tc>
      </w:tr>
    </w:tbl>
    <w:p>
      <w:pPr>
        <w:spacing w:after="80"/>
      </w:pPr>
    </w:p>
    <w:p>
      <w:pPr>
        <w:pStyle w:val="Heading2"/>
      </w:pPr>
      <w:r>
        <w:t>Segmentation — choosing k on business grounds</w:t>
      </w:r>
    </w:p>
    <w:p>
      <w:pPr>
        <w:spacing w:after="140" w:before="0"/>
      </w:pPr>
      <w:r>
        <w:rPr>
          <w:b w:val="0"/>
          <w:i w:val="0"/>
          <w:sz w:val="21"/>
        </w:rPr>
        <w:t>Silhouette analysis favours k=2 (score 0.433), but across only 25 merchants that produces a 21-versus-4 split with no operational value. k=4 was selected so each segment is large enough to assign an owner and distinct enough to justify a different play, at a silhouette cost (0.185) that is stated openly rather than hidden. Notably, the algorithm isolated two merchants into single-member clusters entirely on its own — Kudu Digital Kiosk (breakout growth) and Umhlanga Value Mart (deteriorating). That is a finding, not a defect.</w:t>
      </w:r>
    </w:p>
    <w:p>
      <w:r>
        <w:br w:type="page"/>
      </w:r>
    </w:p>
    <w:p>
      <w:pPr>
        <w:pStyle w:val="Heading1"/>
      </w:pPr>
      <w:r>
        <w:t>7. Business questions answered</w:t>
      </w:r>
    </w:p>
    <w:p>
      <w:pPr>
        <w:pStyle w:val="Heading2"/>
      </w:pPr>
      <w:r>
        <w:t>Q1. Which merchants generate the highest sales value and transaction volume?</w:t>
      </w:r>
    </w:p>
    <w:p>
      <w:pPr>
        <w:spacing w:after="140"/>
      </w:pPr>
      <w:r>
        <w:rPr>
          <w:b/>
          <w:color w:val="12305B"/>
          <w:sz w:val="21"/>
        </w:rPr>
        <w:t>Durban Cash Hub leads on both</w:t>
      </w:r>
      <w:r>
        <w:rPr>
          <w:b w:val="0"/>
          <w:sz w:val="21"/>
        </w:rPr>
        <w:t xml:space="preserve"> — R5,776,119 in sales (8.8% of the portfolio) and 45,371 transactions. The two rankings agreeing at the top is not guaranteed: a merchant can lead on value while trailing on volume if its basket is larger, so both are reported rather than assuming one proxies the other.</w:t>
      </w:r>
    </w:p>
    <w:tbl>
      <w:tblPr>
        <w:tblStyle w:val="TableGrid"/>
        <w:tblW w:type="auto" w:w="0"/>
        <w:jc w:val="center"/>
        <w:tblLook w:firstColumn="1" w:firstRow="1" w:lastColumn="0" w:lastRow="0" w:noHBand="0" w:noVBand="1" w:val="04A0"/>
      </w:tblPr>
      <w:tblGrid>
        <w:gridCol w:w="1587"/>
        <w:gridCol w:w="1587"/>
        <w:gridCol w:w="1587"/>
        <w:gridCol w:w="1587"/>
        <w:gridCol w:w="1587"/>
        <w:gridCol w:w="1587"/>
      </w:tblGrid>
      <w:tr>
        <w:tc>
          <w:tcPr>
            <w:tcW w:type="dxa" w:w="567"/>
            <w:shd w:val="clear" w:fill="12305B"/>
          </w:tcPr>
          <w:p>
            <w:pPr>
              <w:spacing w:after="40" w:before="40"/>
              <w:jc w:val="right"/>
            </w:pPr>
            <w:r/>
            <w:r>
              <w:rPr>
                <w:b/>
                <w:color w:val="FFFFFF"/>
                <w:sz w:val="18"/>
              </w:rPr>
              <w:t>#</w:t>
            </w:r>
          </w:p>
        </w:tc>
        <w:tc>
          <w:tcPr>
            <w:tcW w:type="dxa" w:w="2835"/>
            <w:shd w:val="clear" w:fill="12305B"/>
          </w:tcPr>
          <w:p>
            <w:pPr>
              <w:spacing w:after="40" w:before="40"/>
            </w:pPr>
            <w:r/>
            <w:r>
              <w:rPr>
                <w:b/>
                <w:color w:val="FFFFFF"/>
                <w:sz w:val="18"/>
              </w:rPr>
              <w:t>Merchant</w:t>
            </w:r>
          </w:p>
        </w:tc>
        <w:tc>
          <w:tcPr>
            <w:tcW w:type="dxa" w:w="1928"/>
            <w:shd w:val="clear" w:fill="12305B"/>
          </w:tcPr>
          <w:p>
            <w:pPr>
              <w:spacing w:after="40" w:before="40"/>
            </w:pPr>
            <w:r/>
            <w:r>
              <w:rPr>
                <w:b/>
                <w:color w:val="FFFFFF"/>
                <w:sz w:val="18"/>
              </w:rPr>
              <w:t>Region</w:t>
            </w:r>
          </w:p>
        </w:tc>
        <w:tc>
          <w:tcPr>
            <w:tcW w:type="dxa" w:w="1701"/>
            <w:shd w:val="clear" w:fill="12305B"/>
          </w:tcPr>
          <w:p>
            <w:pPr>
              <w:spacing w:after="40" w:before="40"/>
              <w:jc w:val="right"/>
            </w:pPr>
            <w:r/>
            <w:r>
              <w:rPr>
                <w:b/>
                <w:color w:val="FFFFFF"/>
                <w:sz w:val="18"/>
              </w:rPr>
              <w:t>Total sales</w:t>
            </w:r>
          </w:p>
        </w:tc>
        <w:tc>
          <w:tcPr>
            <w:tcW w:type="dxa" w:w="1474"/>
            <w:shd w:val="clear" w:fill="12305B"/>
          </w:tcPr>
          <w:p>
            <w:pPr>
              <w:spacing w:after="40" w:before="40"/>
              <w:jc w:val="right"/>
            </w:pPr>
            <w:r/>
            <w:r>
              <w:rPr>
                <w:b/>
                <w:color w:val="FFFFFF"/>
                <w:sz w:val="18"/>
              </w:rPr>
              <w:t>Transactions</w:t>
            </w:r>
          </w:p>
        </w:tc>
        <w:tc>
          <w:tcPr>
            <w:tcW w:type="dxa" w:w="1020"/>
            <w:shd w:val="clear" w:fill="12305B"/>
          </w:tcPr>
          <w:p>
            <w:pPr>
              <w:spacing w:after="40" w:before="40"/>
              <w:jc w:val="right"/>
            </w:pPr>
            <w:r/>
            <w:r>
              <w:rPr>
                <w:b/>
                <w:color w:val="FFFFFF"/>
                <w:sz w:val="18"/>
              </w:rPr>
              <w:t>Share</w:t>
            </w:r>
          </w:p>
        </w:tc>
      </w:tr>
      <w:tr>
        <w:tc>
          <w:tcPr>
            <w:tcW w:type="dxa" w:w="567"/>
          </w:tcPr>
          <w:p>
            <w:pPr>
              <w:spacing w:after="40" w:before="40"/>
              <w:jc w:val="right"/>
            </w:pPr>
            <w:r/>
            <w:r>
              <w:rPr>
                <w:sz w:val="18"/>
              </w:rPr>
              <w:t>1</w:t>
            </w:r>
          </w:p>
        </w:tc>
        <w:tc>
          <w:tcPr>
            <w:tcW w:type="dxa" w:w="2835"/>
          </w:tcPr>
          <w:p>
            <w:pPr>
              <w:spacing w:after="40" w:before="40"/>
            </w:pPr>
            <w:r/>
            <w:r>
              <w:rPr>
                <w:sz w:val="18"/>
              </w:rPr>
              <w:t>Durban Cash Hub</w:t>
            </w:r>
          </w:p>
        </w:tc>
        <w:tc>
          <w:tcPr>
            <w:tcW w:type="dxa" w:w="1928"/>
          </w:tcPr>
          <w:p>
            <w:pPr>
              <w:spacing w:after="40" w:before="40"/>
            </w:pPr>
            <w:r/>
            <w:r>
              <w:rPr>
                <w:sz w:val="18"/>
              </w:rPr>
              <w:t>Western Cape</w:t>
            </w:r>
          </w:p>
        </w:tc>
        <w:tc>
          <w:tcPr>
            <w:tcW w:type="dxa" w:w="1701"/>
          </w:tcPr>
          <w:p>
            <w:pPr>
              <w:spacing w:after="40" w:before="40"/>
              <w:jc w:val="right"/>
            </w:pPr>
            <w:r/>
            <w:r>
              <w:rPr>
                <w:sz w:val="18"/>
              </w:rPr>
              <w:t>R5,776,119</w:t>
            </w:r>
          </w:p>
        </w:tc>
        <w:tc>
          <w:tcPr>
            <w:tcW w:type="dxa" w:w="1474"/>
          </w:tcPr>
          <w:p>
            <w:pPr>
              <w:spacing w:after="40" w:before="40"/>
              <w:jc w:val="right"/>
            </w:pPr>
            <w:r/>
            <w:r>
              <w:rPr>
                <w:sz w:val="18"/>
              </w:rPr>
              <w:t>45,371</w:t>
            </w:r>
          </w:p>
        </w:tc>
        <w:tc>
          <w:tcPr>
            <w:tcW w:type="dxa" w:w="1020"/>
          </w:tcPr>
          <w:p>
            <w:pPr>
              <w:spacing w:after="40" w:before="40"/>
              <w:jc w:val="right"/>
            </w:pPr>
            <w:r/>
            <w:r>
              <w:rPr>
                <w:sz w:val="18"/>
              </w:rPr>
              <w:t>8.8%</w:t>
            </w:r>
          </w:p>
        </w:tc>
      </w:tr>
      <w:tr>
        <w:tc>
          <w:tcPr>
            <w:tcW w:type="dxa" w:w="567"/>
            <w:shd w:val="clear" w:fill="F2F6FB"/>
          </w:tcPr>
          <w:p>
            <w:pPr>
              <w:spacing w:after="40" w:before="40"/>
              <w:jc w:val="right"/>
            </w:pPr>
            <w:r/>
            <w:r>
              <w:rPr>
                <w:sz w:val="18"/>
              </w:rPr>
              <w:t>2</w:t>
            </w:r>
          </w:p>
        </w:tc>
        <w:tc>
          <w:tcPr>
            <w:tcW w:type="dxa" w:w="2835"/>
            <w:shd w:val="clear" w:fill="F2F6FB"/>
          </w:tcPr>
          <w:p>
            <w:pPr>
              <w:spacing w:after="40" w:before="40"/>
            </w:pPr>
            <w:r/>
            <w:r>
              <w:rPr>
                <w:sz w:val="18"/>
              </w:rPr>
              <w:t>Kudu Digital Kiosk</w:t>
            </w:r>
          </w:p>
        </w:tc>
        <w:tc>
          <w:tcPr>
            <w:tcW w:type="dxa" w:w="1928"/>
            <w:shd w:val="clear" w:fill="F2F6FB"/>
          </w:tcPr>
          <w:p>
            <w:pPr>
              <w:spacing w:after="40" w:before="40"/>
            </w:pPr>
            <w:r/>
            <w:r>
              <w:rPr>
                <w:sz w:val="18"/>
              </w:rPr>
              <w:t>KwaZulu-Natal</w:t>
            </w:r>
          </w:p>
        </w:tc>
        <w:tc>
          <w:tcPr>
            <w:tcW w:type="dxa" w:w="1701"/>
            <w:shd w:val="clear" w:fill="F2F6FB"/>
          </w:tcPr>
          <w:p>
            <w:pPr>
              <w:spacing w:after="40" w:before="40"/>
              <w:jc w:val="right"/>
            </w:pPr>
            <w:r/>
            <w:r>
              <w:rPr>
                <w:sz w:val="18"/>
              </w:rPr>
              <w:t>R4,535,330</w:t>
            </w:r>
          </w:p>
        </w:tc>
        <w:tc>
          <w:tcPr>
            <w:tcW w:type="dxa" w:w="1474"/>
            <w:shd w:val="clear" w:fill="F2F6FB"/>
          </w:tcPr>
          <w:p>
            <w:pPr>
              <w:spacing w:after="40" w:before="40"/>
              <w:jc w:val="right"/>
            </w:pPr>
            <w:r/>
            <w:r>
              <w:rPr>
                <w:sz w:val="18"/>
              </w:rPr>
              <w:t>35,458</w:t>
            </w:r>
          </w:p>
        </w:tc>
        <w:tc>
          <w:tcPr>
            <w:tcW w:type="dxa" w:w="1020"/>
            <w:shd w:val="clear" w:fill="F2F6FB"/>
          </w:tcPr>
          <w:p>
            <w:pPr>
              <w:spacing w:after="40" w:before="40"/>
              <w:jc w:val="right"/>
            </w:pPr>
            <w:r/>
            <w:r>
              <w:rPr>
                <w:sz w:val="18"/>
              </w:rPr>
              <w:t>6.9%</w:t>
            </w:r>
          </w:p>
        </w:tc>
      </w:tr>
      <w:tr>
        <w:tc>
          <w:tcPr>
            <w:tcW w:type="dxa" w:w="567"/>
          </w:tcPr>
          <w:p>
            <w:pPr>
              <w:spacing w:after="40" w:before="40"/>
              <w:jc w:val="right"/>
            </w:pPr>
            <w:r/>
            <w:r>
              <w:rPr>
                <w:sz w:val="18"/>
              </w:rPr>
              <w:t>3</w:t>
            </w:r>
          </w:p>
        </w:tc>
        <w:tc>
          <w:tcPr>
            <w:tcW w:type="dxa" w:w="2835"/>
          </w:tcPr>
          <w:p>
            <w:pPr>
              <w:spacing w:after="40" w:before="40"/>
            </w:pPr>
            <w:r/>
            <w:r>
              <w:rPr>
                <w:sz w:val="18"/>
              </w:rPr>
              <w:t>Zebra Route Services</w:t>
            </w:r>
          </w:p>
        </w:tc>
        <w:tc>
          <w:tcPr>
            <w:tcW w:type="dxa" w:w="1928"/>
          </w:tcPr>
          <w:p>
            <w:pPr>
              <w:spacing w:after="40" w:before="40"/>
            </w:pPr>
            <w:r/>
            <w:r>
              <w:rPr>
                <w:sz w:val="18"/>
              </w:rPr>
              <w:t>Gauteng</w:t>
            </w:r>
          </w:p>
        </w:tc>
        <w:tc>
          <w:tcPr>
            <w:tcW w:type="dxa" w:w="1701"/>
          </w:tcPr>
          <w:p>
            <w:pPr>
              <w:spacing w:after="40" w:before="40"/>
              <w:jc w:val="right"/>
            </w:pPr>
            <w:r/>
            <w:r>
              <w:rPr>
                <w:sz w:val="18"/>
              </w:rPr>
              <w:t>R4,519,762</w:t>
            </w:r>
          </w:p>
        </w:tc>
        <w:tc>
          <w:tcPr>
            <w:tcW w:type="dxa" w:w="1474"/>
          </w:tcPr>
          <w:p>
            <w:pPr>
              <w:spacing w:after="40" w:before="40"/>
              <w:jc w:val="right"/>
            </w:pPr>
            <w:r/>
            <w:r>
              <w:rPr>
                <w:sz w:val="18"/>
              </w:rPr>
              <w:t>35,910</w:t>
            </w:r>
          </w:p>
        </w:tc>
        <w:tc>
          <w:tcPr>
            <w:tcW w:type="dxa" w:w="1020"/>
          </w:tcPr>
          <w:p>
            <w:pPr>
              <w:spacing w:after="40" w:before="40"/>
              <w:jc w:val="right"/>
            </w:pPr>
            <w:r/>
            <w:r>
              <w:rPr>
                <w:sz w:val="18"/>
              </w:rPr>
              <w:t>6.9%</w:t>
            </w:r>
          </w:p>
        </w:tc>
      </w:tr>
      <w:tr>
        <w:tc>
          <w:tcPr>
            <w:tcW w:type="dxa" w:w="567"/>
            <w:shd w:val="clear" w:fill="F2F6FB"/>
          </w:tcPr>
          <w:p>
            <w:pPr>
              <w:spacing w:after="40" w:before="40"/>
              <w:jc w:val="right"/>
            </w:pPr>
            <w:r/>
            <w:r>
              <w:rPr>
                <w:sz w:val="18"/>
              </w:rPr>
              <w:t>4</w:t>
            </w:r>
          </w:p>
        </w:tc>
        <w:tc>
          <w:tcPr>
            <w:tcW w:type="dxa" w:w="2835"/>
            <w:shd w:val="clear" w:fill="F2F6FB"/>
          </w:tcPr>
          <w:p>
            <w:pPr>
              <w:spacing w:after="40" w:before="40"/>
            </w:pPr>
            <w:r/>
            <w:r>
              <w:rPr>
                <w:sz w:val="18"/>
              </w:rPr>
              <w:t>Karoo Quick Shop</w:t>
            </w:r>
          </w:p>
        </w:tc>
        <w:tc>
          <w:tcPr>
            <w:tcW w:type="dxa" w:w="1928"/>
            <w:shd w:val="clear" w:fill="F2F6FB"/>
          </w:tcPr>
          <w:p>
            <w:pPr>
              <w:spacing w:after="40" w:before="40"/>
            </w:pPr>
            <w:r/>
            <w:r>
              <w:rPr>
                <w:sz w:val="18"/>
              </w:rPr>
              <w:t>Gauteng</w:t>
            </w:r>
          </w:p>
        </w:tc>
        <w:tc>
          <w:tcPr>
            <w:tcW w:type="dxa" w:w="1701"/>
            <w:shd w:val="clear" w:fill="F2F6FB"/>
          </w:tcPr>
          <w:p>
            <w:pPr>
              <w:spacing w:after="40" w:before="40"/>
              <w:jc w:val="right"/>
            </w:pPr>
            <w:r/>
            <w:r>
              <w:rPr>
                <w:sz w:val="18"/>
              </w:rPr>
              <w:t>R4,395,067</w:t>
            </w:r>
          </w:p>
        </w:tc>
        <w:tc>
          <w:tcPr>
            <w:tcW w:type="dxa" w:w="1474"/>
            <w:shd w:val="clear" w:fill="F2F6FB"/>
          </w:tcPr>
          <w:p>
            <w:pPr>
              <w:spacing w:after="40" w:before="40"/>
              <w:jc w:val="right"/>
            </w:pPr>
            <w:r/>
            <w:r>
              <w:rPr>
                <w:sz w:val="18"/>
              </w:rPr>
              <w:t>34,657</w:t>
            </w:r>
          </w:p>
        </w:tc>
        <w:tc>
          <w:tcPr>
            <w:tcW w:type="dxa" w:w="1020"/>
            <w:shd w:val="clear" w:fill="F2F6FB"/>
          </w:tcPr>
          <w:p>
            <w:pPr>
              <w:spacing w:after="40" w:before="40"/>
              <w:jc w:val="right"/>
            </w:pPr>
            <w:r/>
            <w:r>
              <w:rPr>
                <w:sz w:val="18"/>
              </w:rPr>
              <w:t>6.7%</w:t>
            </w:r>
          </w:p>
        </w:tc>
      </w:tr>
      <w:tr>
        <w:tc>
          <w:tcPr>
            <w:tcW w:type="dxa" w:w="567"/>
          </w:tcPr>
          <w:p>
            <w:pPr>
              <w:spacing w:after="40" w:before="40"/>
              <w:jc w:val="right"/>
            </w:pPr>
            <w:r/>
            <w:r>
              <w:rPr>
                <w:sz w:val="18"/>
              </w:rPr>
              <w:t>5</w:t>
            </w:r>
          </w:p>
        </w:tc>
        <w:tc>
          <w:tcPr>
            <w:tcW w:type="dxa" w:w="2835"/>
          </w:tcPr>
          <w:p>
            <w:pPr>
              <w:spacing w:after="40" w:before="40"/>
            </w:pPr>
            <w:r/>
            <w:r>
              <w:rPr>
                <w:sz w:val="18"/>
              </w:rPr>
              <w:t>Lighthouse General Dealer</w:t>
            </w:r>
          </w:p>
        </w:tc>
        <w:tc>
          <w:tcPr>
            <w:tcW w:type="dxa" w:w="1928"/>
          </w:tcPr>
          <w:p>
            <w:pPr>
              <w:spacing w:after="40" w:before="40"/>
            </w:pPr>
            <w:r/>
            <w:r>
              <w:rPr>
                <w:sz w:val="18"/>
              </w:rPr>
              <w:t>Gauteng</w:t>
            </w:r>
          </w:p>
        </w:tc>
        <w:tc>
          <w:tcPr>
            <w:tcW w:type="dxa" w:w="1701"/>
          </w:tcPr>
          <w:p>
            <w:pPr>
              <w:spacing w:after="40" w:before="40"/>
              <w:jc w:val="right"/>
            </w:pPr>
            <w:r/>
            <w:r>
              <w:rPr>
                <w:sz w:val="18"/>
              </w:rPr>
              <w:t>R3,965,086</w:t>
            </w:r>
          </w:p>
        </w:tc>
        <w:tc>
          <w:tcPr>
            <w:tcW w:type="dxa" w:w="1474"/>
          </w:tcPr>
          <w:p>
            <w:pPr>
              <w:spacing w:after="40" w:before="40"/>
              <w:jc w:val="right"/>
            </w:pPr>
            <w:r/>
            <w:r>
              <w:rPr>
                <w:sz w:val="18"/>
              </w:rPr>
              <w:t>31,124</w:t>
            </w:r>
          </w:p>
        </w:tc>
        <w:tc>
          <w:tcPr>
            <w:tcW w:type="dxa" w:w="1020"/>
          </w:tcPr>
          <w:p>
            <w:pPr>
              <w:spacing w:after="40" w:before="40"/>
              <w:jc w:val="right"/>
            </w:pPr>
            <w:r/>
            <w:r>
              <w:rPr>
                <w:sz w:val="18"/>
              </w:rPr>
              <w:t>6.1%</w:t>
            </w:r>
          </w:p>
        </w:tc>
      </w:tr>
    </w:tbl>
    <w:p>
      <w:pPr>
        <w:spacing w:after="80"/>
      </w:pPr>
    </w:p>
    <w:p>
      <w:pPr>
        <w:spacing w:after="140" w:before="0"/>
      </w:pPr>
      <w:r>
        <w:rPr>
          <w:b w:val="0"/>
          <w:i w:val="0"/>
          <w:sz w:val="21"/>
        </w:rPr>
        <w:t>Concentration matters more than the leader: the top 5 merchants carry 35.4% of revenue and 15 of 25 account for 80%. HHI is 512 — moderate concentration, worth monitoring as a commercial risk in its own right.</w:t>
      </w:r>
    </w:p>
    <w:p>
      <w:pPr>
        <w:pStyle w:val="Heading2"/>
      </w:pPr>
      <w:r>
        <w:t>Q2. Which voucher type has the highest redemption rate?</w:t>
      </w:r>
    </w:p>
    <w:p>
      <w:pPr>
        <w:spacing w:after="140"/>
      </w:pPr>
      <w:r>
        <w:rPr>
          <w:b w:val="0"/>
          <w:sz w:val="21"/>
        </w:rPr>
        <w:t xml:space="preserve">Airtime, at </w:t>
      </w:r>
      <w:r>
        <w:rPr>
          <w:b/>
          <w:color w:val="12305B"/>
          <w:sz w:val="21"/>
        </w:rPr>
        <w:t>92.8%</w:t>
      </w:r>
      <w:r>
        <w:rPr>
          <w:b w:val="0"/>
          <w:sz w:val="21"/>
        </w:rPr>
        <w:t xml:space="preserve">. Gaming is lowest at </w:t>
      </w:r>
      <w:r>
        <w:rPr>
          <w:b/>
          <w:color w:val="C0392B"/>
          <w:sz w:val="21"/>
        </w:rPr>
        <w:t>75.9%</w:t>
      </w:r>
      <w:r>
        <w:rPr>
          <w:b w:val="0"/>
          <w:sz w:val="21"/>
        </w:rPr>
        <w:t xml:space="preserve"> — a 16.9 percentage point spread.</w:t>
      </w:r>
    </w:p>
    <w:tbl>
      <w:tblPr>
        <w:tblStyle w:val="TableGrid"/>
        <w:tblW w:type="auto" w:w="0"/>
        <w:jc w:val="center"/>
        <w:tblLook w:firstColumn="1" w:firstRow="1" w:lastColumn="0" w:lastRow="0" w:noHBand="0" w:noVBand="1" w:val="04A0"/>
      </w:tblPr>
      <w:tblGrid>
        <w:gridCol w:w="1587"/>
        <w:gridCol w:w="1587"/>
        <w:gridCol w:w="1587"/>
        <w:gridCol w:w="1587"/>
        <w:gridCol w:w="1587"/>
        <w:gridCol w:w="1587"/>
      </w:tblGrid>
      <w:tr>
        <w:tc>
          <w:tcPr>
            <w:tcW w:type="dxa" w:w="1928"/>
            <w:shd w:val="clear" w:fill="12305B"/>
          </w:tcPr>
          <w:p>
            <w:pPr>
              <w:spacing w:after="40" w:before="40"/>
            </w:pPr>
            <w:r/>
            <w:r>
              <w:rPr>
                <w:b/>
                <w:color w:val="FFFFFF"/>
                <w:sz w:val="18"/>
              </w:rPr>
              <w:t>Voucher type</w:t>
            </w:r>
          </w:p>
        </w:tc>
        <w:tc>
          <w:tcPr>
            <w:tcW w:type="dxa" w:w="1247"/>
            <w:shd w:val="clear" w:fill="12305B"/>
          </w:tcPr>
          <w:p>
            <w:pPr>
              <w:spacing w:after="40" w:before="40"/>
              <w:jc w:val="right"/>
            </w:pPr>
            <w:r/>
            <w:r>
              <w:rPr>
                <w:b/>
                <w:color w:val="FFFFFF"/>
                <w:sz w:val="18"/>
              </w:rPr>
              <w:t>Sold</w:t>
            </w:r>
          </w:p>
        </w:tc>
        <w:tc>
          <w:tcPr>
            <w:tcW w:type="dxa" w:w="1587"/>
            <w:shd w:val="clear" w:fill="12305B"/>
          </w:tcPr>
          <w:p>
            <w:pPr>
              <w:spacing w:after="40" w:before="40"/>
              <w:jc w:val="right"/>
            </w:pPr>
            <w:r/>
            <w:r>
              <w:rPr>
                <w:b/>
                <w:color w:val="FFFFFF"/>
                <w:sz w:val="18"/>
              </w:rPr>
              <w:t>Redemption %</w:t>
            </w:r>
          </w:p>
        </w:tc>
        <w:tc>
          <w:tcPr>
            <w:tcW w:type="dxa" w:w="1814"/>
            <w:shd w:val="clear" w:fill="12305B"/>
          </w:tcPr>
          <w:p>
            <w:pPr>
              <w:spacing w:after="40" w:before="40"/>
              <w:jc w:val="right"/>
            </w:pPr>
            <w:r/>
            <w:r>
              <w:rPr>
                <w:b/>
                <w:color w:val="FFFFFF"/>
                <w:sz w:val="18"/>
              </w:rPr>
              <w:t>Value redemption %</w:t>
            </w:r>
          </w:p>
        </w:tc>
        <w:tc>
          <w:tcPr>
            <w:tcW w:type="dxa" w:w="1134"/>
            <w:shd w:val="clear" w:fill="12305B"/>
          </w:tcPr>
          <w:p>
            <w:pPr>
              <w:spacing w:after="40" w:before="40"/>
              <w:jc w:val="right"/>
            </w:pPr>
            <w:r/>
            <w:r>
              <w:rPr>
                <w:b/>
                <w:color w:val="FFFFFF"/>
                <w:sz w:val="18"/>
              </w:rPr>
              <w:t>Avg days</w:t>
            </w:r>
          </w:p>
        </w:tc>
        <w:tc>
          <w:tcPr>
            <w:tcW w:type="dxa" w:w="1701"/>
            <w:shd w:val="clear" w:fill="12305B"/>
          </w:tcPr>
          <w:p>
            <w:pPr>
              <w:spacing w:after="40" w:before="40"/>
              <w:jc w:val="right"/>
            </w:pPr>
            <w:r/>
            <w:r>
              <w:rPr>
                <w:b/>
                <w:color w:val="FFFFFF"/>
                <w:sz w:val="18"/>
              </w:rPr>
              <w:t>Outstanding</w:t>
            </w:r>
          </w:p>
        </w:tc>
      </w:tr>
      <w:tr>
        <w:tc>
          <w:tcPr>
            <w:tcW w:type="dxa" w:w="1928"/>
          </w:tcPr>
          <w:p>
            <w:pPr>
              <w:spacing w:after="40" w:before="40"/>
            </w:pPr>
            <w:r/>
            <w:r>
              <w:rPr>
                <w:sz w:val="18"/>
              </w:rPr>
              <w:t>Airtime</w:t>
            </w:r>
          </w:p>
        </w:tc>
        <w:tc>
          <w:tcPr>
            <w:tcW w:type="dxa" w:w="1247"/>
          </w:tcPr>
          <w:p>
            <w:pPr>
              <w:spacing w:after="40" w:before="40"/>
              <w:jc w:val="right"/>
            </w:pPr>
            <w:r/>
            <w:r>
              <w:rPr>
                <w:sz w:val="18"/>
              </w:rPr>
              <w:t>26,253</w:t>
            </w:r>
          </w:p>
        </w:tc>
        <w:tc>
          <w:tcPr>
            <w:tcW w:type="dxa" w:w="1587"/>
          </w:tcPr>
          <w:p>
            <w:pPr>
              <w:spacing w:after="40" w:before="40"/>
              <w:jc w:val="right"/>
            </w:pPr>
            <w:r/>
            <w:r>
              <w:rPr>
                <w:sz w:val="18"/>
              </w:rPr>
              <w:t>92.83%</w:t>
            </w:r>
          </w:p>
        </w:tc>
        <w:tc>
          <w:tcPr>
            <w:tcW w:type="dxa" w:w="1814"/>
          </w:tcPr>
          <w:p>
            <w:pPr>
              <w:spacing w:after="40" w:before="40"/>
              <w:jc w:val="right"/>
            </w:pPr>
            <w:r/>
            <w:r>
              <w:rPr>
                <w:sz w:val="18"/>
              </w:rPr>
              <w:t>92.83%</w:t>
            </w:r>
          </w:p>
        </w:tc>
        <w:tc>
          <w:tcPr>
            <w:tcW w:type="dxa" w:w="1134"/>
          </w:tcPr>
          <w:p>
            <w:pPr>
              <w:spacing w:after="40" w:before="40"/>
              <w:jc w:val="right"/>
            </w:pPr>
            <w:r/>
            <w:r>
              <w:rPr>
                <w:sz w:val="18"/>
              </w:rPr>
              <w:t>3.55</w:t>
            </w:r>
          </w:p>
        </w:tc>
        <w:tc>
          <w:tcPr>
            <w:tcW w:type="dxa" w:w="1701"/>
          </w:tcPr>
          <w:p>
            <w:pPr>
              <w:spacing w:after="40" w:before="40"/>
              <w:jc w:val="right"/>
            </w:pPr>
            <w:r/>
            <w:r>
              <w:rPr>
                <w:sz w:val="18"/>
              </w:rPr>
              <w:t>R340,979</w:t>
            </w:r>
          </w:p>
        </w:tc>
      </w:tr>
      <w:tr>
        <w:tc>
          <w:tcPr>
            <w:tcW w:type="dxa" w:w="1928"/>
            <w:shd w:val="clear" w:fill="F2F6FB"/>
          </w:tcPr>
          <w:p>
            <w:pPr>
              <w:spacing w:after="40" w:before="40"/>
            </w:pPr>
            <w:r/>
            <w:r>
              <w:rPr>
                <w:sz w:val="18"/>
              </w:rPr>
              <w:t>Electricity</w:t>
            </w:r>
          </w:p>
        </w:tc>
        <w:tc>
          <w:tcPr>
            <w:tcW w:type="dxa" w:w="1247"/>
            <w:shd w:val="clear" w:fill="F2F6FB"/>
          </w:tcPr>
          <w:p>
            <w:pPr>
              <w:spacing w:after="40" w:before="40"/>
              <w:jc w:val="right"/>
            </w:pPr>
            <w:r/>
            <w:r>
              <w:rPr>
                <w:sz w:val="18"/>
              </w:rPr>
              <w:t>24,691</w:t>
            </w:r>
          </w:p>
        </w:tc>
        <w:tc>
          <w:tcPr>
            <w:tcW w:type="dxa" w:w="1587"/>
            <w:shd w:val="clear" w:fill="F2F6FB"/>
          </w:tcPr>
          <w:p>
            <w:pPr>
              <w:spacing w:after="40" w:before="40"/>
              <w:jc w:val="right"/>
            </w:pPr>
            <w:r/>
            <w:r>
              <w:rPr>
                <w:sz w:val="18"/>
              </w:rPr>
              <w:t>87.79%</w:t>
            </w:r>
          </w:p>
        </w:tc>
        <w:tc>
          <w:tcPr>
            <w:tcW w:type="dxa" w:w="1814"/>
            <w:shd w:val="clear" w:fill="F2F6FB"/>
          </w:tcPr>
          <w:p>
            <w:pPr>
              <w:spacing w:after="40" w:before="40"/>
              <w:jc w:val="right"/>
            </w:pPr>
            <w:r/>
            <w:r>
              <w:rPr>
                <w:sz w:val="18"/>
              </w:rPr>
              <w:t>87.57%</w:t>
            </w:r>
          </w:p>
        </w:tc>
        <w:tc>
          <w:tcPr>
            <w:tcW w:type="dxa" w:w="1134"/>
            <w:shd w:val="clear" w:fill="F2F6FB"/>
          </w:tcPr>
          <w:p>
            <w:pPr>
              <w:spacing w:after="40" w:before="40"/>
              <w:jc w:val="right"/>
            </w:pPr>
            <w:r/>
            <w:r>
              <w:rPr>
                <w:sz w:val="18"/>
              </w:rPr>
              <w:t>3.56</w:t>
            </w:r>
          </w:p>
        </w:tc>
        <w:tc>
          <w:tcPr>
            <w:tcW w:type="dxa" w:w="1701"/>
            <w:shd w:val="clear" w:fill="F2F6FB"/>
          </w:tcPr>
          <w:p>
            <w:pPr>
              <w:spacing w:after="40" w:before="40"/>
              <w:jc w:val="right"/>
            </w:pPr>
            <w:r/>
            <w:r>
              <w:rPr>
                <w:sz w:val="18"/>
              </w:rPr>
              <w:t>R557,879</w:t>
            </w:r>
          </w:p>
        </w:tc>
      </w:tr>
      <w:tr>
        <w:tc>
          <w:tcPr>
            <w:tcW w:type="dxa" w:w="1928"/>
          </w:tcPr>
          <w:p>
            <w:pPr>
              <w:spacing w:after="40" w:before="40"/>
            </w:pPr>
            <w:r/>
            <w:r>
              <w:rPr>
                <w:sz w:val="18"/>
              </w:rPr>
              <w:t>Groceries</w:t>
            </w:r>
          </w:p>
        </w:tc>
        <w:tc>
          <w:tcPr>
            <w:tcW w:type="dxa" w:w="1247"/>
          </w:tcPr>
          <w:p>
            <w:pPr>
              <w:spacing w:after="40" w:before="40"/>
              <w:jc w:val="right"/>
            </w:pPr>
            <w:r/>
            <w:r>
              <w:rPr>
                <w:sz w:val="18"/>
              </w:rPr>
              <w:t>24,856</w:t>
            </w:r>
          </w:p>
        </w:tc>
        <w:tc>
          <w:tcPr>
            <w:tcW w:type="dxa" w:w="1587"/>
          </w:tcPr>
          <w:p>
            <w:pPr>
              <w:spacing w:after="40" w:before="40"/>
              <w:jc w:val="right"/>
            </w:pPr>
            <w:r/>
            <w:r>
              <w:rPr>
                <w:sz w:val="18"/>
              </w:rPr>
              <w:t>82.67%</w:t>
            </w:r>
          </w:p>
        </w:tc>
        <w:tc>
          <w:tcPr>
            <w:tcW w:type="dxa" w:w="1814"/>
          </w:tcPr>
          <w:p>
            <w:pPr>
              <w:spacing w:after="40" w:before="40"/>
              <w:jc w:val="right"/>
            </w:pPr>
            <w:r/>
            <w:r>
              <w:rPr>
                <w:sz w:val="18"/>
              </w:rPr>
              <w:t>82.62%</w:t>
            </w:r>
          </w:p>
        </w:tc>
        <w:tc>
          <w:tcPr>
            <w:tcW w:type="dxa" w:w="1134"/>
          </w:tcPr>
          <w:p>
            <w:pPr>
              <w:spacing w:after="40" w:before="40"/>
              <w:jc w:val="right"/>
            </w:pPr>
            <w:r/>
            <w:r>
              <w:rPr>
                <w:sz w:val="18"/>
              </w:rPr>
              <w:t>3.57</w:t>
            </w:r>
          </w:p>
        </w:tc>
        <w:tc>
          <w:tcPr>
            <w:tcW w:type="dxa" w:w="1701"/>
          </w:tcPr>
          <w:p>
            <w:pPr>
              <w:spacing w:after="40" w:before="40"/>
              <w:jc w:val="right"/>
            </w:pPr>
            <w:r/>
            <w:r>
              <w:rPr>
                <w:sz w:val="18"/>
              </w:rPr>
              <w:t>R784,888</w:t>
            </w:r>
          </w:p>
        </w:tc>
      </w:tr>
      <w:tr>
        <w:tc>
          <w:tcPr>
            <w:tcW w:type="dxa" w:w="1928"/>
            <w:shd w:val="clear" w:fill="F2F6FB"/>
          </w:tcPr>
          <w:p>
            <w:pPr>
              <w:spacing w:after="40" w:before="40"/>
            </w:pPr>
            <w:r/>
            <w:r>
              <w:rPr>
                <w:sz w:val="18"/>
              </w:rPr>
              <w:t>Bill Payment</w:t>
            </w:r>
          </w:p>
        </w:tc>
        <w:tc>
          <w:tcPr>
            <w:tcW w:type="dxa" w:w="1247"/>
            <w:shd w:val="clear" w:fill="F2F6FB"/>
          </w:tcPr>
          <w:p>
            <w:pPr>
              <w:spacing w:after="40" w:before="40"/>
              <w:jc w:val="right"/>
            </w:pPr>
            <w:r/>
            <w:r>
              <w:rPr>
                <w:sz w:val="18"/>
              </w:rPr>
              <w:t>22,489</w:t>
            </w:r>
          </w:p>
        </w:tc>
        <w:tc>
          <w:tcPr>
            <w:tcW w:type="dxa" w:w="1587"/>
            <w:shd w:val="clear" w:fill="F2F6FB"/>
          </w:tcPr>
          <w:p>
            <w:pPr>
              <w:spacing w:after="40" w:before="40"/>
              <w:jc w:val="right"/>
            </w:pPr>
            <w:r/>
            <w:r>
              <w:rPr>
                <w:sz w:val="18"/>
              </w:rPr>
              <w:t>80.14%</w:t>
            </w:r>
          </w:p>
        </w:tc>
        <w:tc>
          <w:tcPr>
            <w:tcW w:type="dxa" w:w="1814"/>
            <w:shd w:val="clear" w:fill="F2F6FB"/>
          </w:tcPr>
          <w:p>
            <w:pPr>
              <w:spacing w:after="40" w:before="40"/>
              <w:jc w:val="right"/>
            </w:pPr>
            <w:r/>
            <w:r>
              <w:rPr>
                <w:sz w:val="18"/>
              </w:rPr>
              <w:t>79.88%</w:t>
            </w:r>
          </w:p>
        </w:tc>
        <w:tc>
          <w:tcPr>
            <w:tcW w:type="dxa" w:w="1134"/>
            <w:shd w:val="clear" w:fill="F2F6FB"/>
          </w:tcPr>
          <w:p>
            <w:pPr>
              <w:spacing w:after="40" w:before="40"/>
              <w:jc w:val="right"/>
            </w:pPr>
            <w:r/>
            <w:r>
              <w:rPr>
                <w:sz w:val="18"/>
              </w:rPr>
              <w:t>3.70</w:t>
            </w:r>
          </w:p>
        </w:tc>
        <w:tc>
          <w:tcPr>
            <w:tcW w:type="dxa" w:w="1701"/>
            <w:shd w:val="clear" w:fill="F2F6FB"/>
          </w:tcPr>
          <w:p>
            <w:pPr>
              <w:spacing w:after="40" w:before="40"/>
              <w:jc w:val="right"/>
            </w:pPr>
            <w:r/>
            <w:r>
              <w:rPr>
                <w:sz w:val="18"/>
              </w:rPr>
              <w:t>R824,710</w:t>
            </w:r>
          </w:p>
        </w:tc>
      </w:tr>
      <w:tr>
        <w:tc>
          <w:tcPr>
            <w:tcW w:type="dxa" w:w="1928"/>
          </w:tcPr>
          <w:p>
            <w:pPr>
              <w:spacing w:after="40" w:before="40"/>
            </w:pPr>
            <w:r/>
            <w:r>
              <w:rPr>
                <w:sz w:val="18"/>
              </w:rPr>
              <w:t>Gaming</w:t>
            </w:r>
          </w:p>
        </w:tc>
        <w:tc>
          <w:tcPr>
            <w:tcW w:type="dxa" w:w="1247"/>
          </w:tcPr>
          <w:p>
            <w:pPr>
              <w:spacing w:after="40" w:before="40"/>
              <w:jc w:val="right"/>
            </w:pPr>
            <w:r/>
            <w:r>
              <w:rPr>
                <w:sz w:val="18"/>
              </w:rPr>
              <w:t>22,680</w:t>
            </w:r>
          </w:p>
        </w:tc>
        <w:tc>
          <w:tcPr>
            <w:tcW w:type="dxa" w:w="1587"/>
          </w:tcPr>
          <w:p>
            <w:pPr>
              <w:spacing w:after="40" w:before="40"/>
              <w:jc w:val="right"/>
            </w:pPr>
            <w:r/>
            <w:r>
              <w:rPr>
                <w:sz w:val="18"/>
              </w:rPr>
              <w:t>75.95%</w:t>
            </w:r>
          </w:p>
        </w:tc>
        <w:tc>
          <w:tcPr>
            <w:tcW w:type="dxa" w:w="1814"/>
          </w:tcPr>
          <w:p>
            <w:pPr>
              <w:spacing w:after="40" w:before="40"/>
              <w:jc w:val="right"/>
            </w:pPr>
            <w:r/>
            <w:r>
              <w:rPr>
                <w:sz w:val="18"/>
              </w:rPr>
              <w:t>75.16%</w:t>
            </w:r>
          </w:p>
        </w:tc>
        <w:tc>
          <w:tcPr>
            <w:tcW w:type="dxa" w:w="1134"/>
          </w:tcPr>
          <w:p>
            <w:pPr>
              <w:spacing w:after="40" w:before="40"/>
              <w:jc w:val="right"/>
            </w:pPr>
            <w:r/>
            <w:r>
              <w:rPr>
                <w:sz w:val="18"/>
              </w:rPr>
              <w:t>3.56</w:t>
            </w:r>
          </w:p>
        </w:tc>
        <w:tc>
          <w:tcPr>
            <w:tcW w:type="dxa" w:w="1701"/>
          </w:tcPr>
          <w:p>
            <w:pPr>
              <w:spacing w:after="40" w:before="40"/>
              <w:jc w:val="right"/>
            </w:pPr>
            <w:r/>
            <w:r>
              <w:rPr>
                <w:sz w:val="18"/>
              </w:rPr>
              <w:t>R1,033,107</w:t>
            </w:r>
          </w:p>
        </w:tc>
      </w:tr>
    </w:tbl>
    <w:p>
      <w:pPr>
        <w:spacing w:after="80"/>
      </w:pPr>
    </w:p>
    <w:p>
      <w:pPr>
        <w:spacing w:after="140" w:before="0"/>
      </w:pPr>
      <w:r>
        <w:rPr>
          <w:b w:val="0"/>
          <w:i w:val="0"/>
          <w:sz w:val="21"/>
        </w:rPr>
        <w:t>Two observations that change the interpretation. First, the value-based rate is almost identical to the volume-based rate within each type, so high-value and low-value vouchers behave the same way — had they diverged, the value rate would be the one Finance should use. Second, time-to-redeem is effectively flat across all types (3.5–3.7 days), so the difference is whether customers redeem at all, not how quickly. Gaming's 24% non-redemption is the largest single block of the R3.5m outstanding liability.</w:t>
      </w:r>
    </w:p>
    <w:p>
      <w:pPr>
        <w:pStyle w:val="Heading2"/>
      </w:pPr>
      <w:r>
        <w:t>Q3. Which region shows declining sales or transaction behaviour?</w:t>
      </w:r>
    </w:p>
    <w:p>
      <w:pPr>
        <w:spacing w:after="140"/>
      </w:pPr>
      <w:r>
        <w:rPr>
          <w:b/>
          <w:color w:val="C0392B"/>
          <w:sz w:val="21"/>
        </w:rPr>
        <w:t>Eastern Cape</w:t>
      </w:r>
      <w:r>
        <w:rPr>
          <w:b w:val="0"/>
          <w:sz w:val="21"/>
        </w:rPr>
        <w:t>, on four independent signals rather than one.</w:t>
      </w:r>
    </w:p>
    <w:p>
      <w:pPr>
        <w:pStyle w:val="ListBullet"/>
        <w:spacing w:after="60"/>
        <w:ind w:left="340"/>
      </w:pPr>
      <w:r>
        <w:rPr>
          <w:sz w:val="21"/>
        </w:rPr>
        <w:t>It is the only region that peaked before July (peak May 2026).</w:t>
      </w:r>
    </w:p>
    <w:p>
      <w:pPr>
        <w:pStyle w:val="ListBullet"/>
        <w:spacing w:after="60"/>
        <w:ind w:left="340"/>
      </w:pPr>
      <w:r>
        <w:rPr>
          <w:sz w:val="21"/>
        </w:rPr>
        <w:t>It sits 9.8% below its own peak while every other region is currently at its peak.</w:t>
      </w:r>
    </w:p>
    <w:p>
      <w:pPr>
        <w:pStyle w:val="ListBullet"/>
        <w:spacing w:after="60"/>
        <w:ind w:left="340"/>
      </w:pPr>
      <w:r>
        <w:rPr>
          <w:sz w:val="21"/>
        </w:rPr>
        <w:t>Its trend slope is +2.0% of average monthly sales, against +4.4% to +8.5% elsewhere.</w:t>
      </w:r>
    </w:p>
    <w:p>
      <w:pPr>
        <w:pStyle w:val="ListBullet"/>
        <w:spacing w:after="60"/>
        <w:ind w:left="340"/>
      </w:pPr>
      <w:r>
        <w:rPr>
          <w:sz w:val="21"/>
        </w:rPr>
        <w:t>June fell 12.2% month-on-month against +1.4% to +3.8% for every other region.</w:t>
      </w:r>
    </w:p>
    <w:tbl>
      <w:tblPr>
        <w:tblStyle w:val="TableGrid"/>
        <w:tblW w:type="auto" w:w="0"/>
        <w:jc w:val="center"/>
        <w:tblLook w:firstColumn="1" w:firstRow="1" w:lastColumn="0" w:lastRow="0" w:noHBand="0" w:noVBand="1" w:val="04A0"/>
      </w:tblPr>
      <w:tblGrid>
        <w:gridCol w:w="1361"/>
        <w:gridCol w:w="1361"/>
        <w:gridCol w:w="1361"/>
        <w:gridCol w:w="1361"/>
        <w:gridCol w:w="1361"/>
        <w:gridCol w:w="1361"/>
        <w:gridCol w:w="1361"/>
      </w:tblGrid>
      <w:tr>
        <w:tc>
          <w:tcPr>
            <w:tcW w:type="dxa" w:w="1701"/>
            <w:shd w:val="clear" w:fill="12305B"/>
          </w:tcPr>
          <w:p>
            <w:pPr>
              <w:spacing w:after="40" w:before="40"/>
            </w:pPr>
            <w:r/>
            <w:r>
              <w:rPr>
                <w:b/>
                <w:color w:val="FFFFFF"/>
                <w:sz w:val="18"/>
              </w:rPr>
              <w:t>Region</w:t>
            </w:r>
          </w:p>
        </w:tc>
        <w:tc>
          <w:tcPr>
            <w:tcW w:type="dxa" w:w="1587"/>
            <w:shd w:val="clear" w:fill="12305B"/>
          </w:tcPr>
          <w:p>
            <w:pPr>
              <w:spacing w:after="40" w:before="40"/>
              <w:jc w:val="right"/>
            </w:pPr>
            <w:r/>
            <w:r>
              <w:rPr>
                <w:b/>
                <w:color w:val="FFFFFF"/>
                <w:sz w:val="18"/>
              </w:rPr>
              <w:t>Total sales</w:t>
            </w:r>
          </w:p>
        </w:tc>
        <w:tc>
          <w:tcPr>
            <w:tcW w:type="dxa" w:w="907"/>
            <w:shd w:val="clear" w:fill="12305B"/>
          </w:tcPr>
          <w:p>
            <w:pPr>
              <w:spacing w:after="40" w:before="40"/>
              <w:jc w:val="right"/>
            </w:pPr>
            <w:r/>
            <w:r>
              <w:rPr>
                <w:b/>
                <w:color w:val="FFFFFF"/>
                <w:sz w:val="18"/>
              </w:rPr>
              <w:t>Share</w:t>
            </w:r>
          </w:p>
        </w:tc>
        <w:tc>
          <w:tcPr>
            <w:tcW w:type="dxa" w:w="1474"/>
            <w:shd w:val="clear" w:fill="12305B"/>
          </w:tcPr>
          <w:p>
            <w:pPr>
              <w:spacing w:after="40" w:before="40"/>
              <w:jc w:val="right"/>
            </w:pPr>
            <w:r/>
            <w:r>
              <w:rPr>
                <w:b/>
                <w:color w:val="FFFFFF"/>
                <w:sz w:val="18"/>
              </w:rPr>
              <w:t>Trend % of avg</w:t>
            </w:r>
          </w:p>
        </w:tc>
        <w:tc>
          <w:tcPr>
            <w:tcW w:type="dxa" w:w="1587"/>
            <w:shd w:val="clear" w:fill="12305B"/>
          </w:tcPr>
          <w:p>
            <w:pPr>
              <w:spacing w:after="40" w:before="40"/>
              <w:jc w:val="right"/>
            </w:pPr>
            <w:r/>
            <w:r>
              <w:rPr>
                <w:b/>
                <w:color w:val="FFFFFF"/>
                <w:sz w:val="18"/>
              </w:rPr>
              <w:t>Last month MoM</w:t>
            </w:r>
          </w:p>
        </w:tc>
        <w:tc>
          <w:tcPr>
            <w:tcW w:type="dxa" w:w="1134"/>
            <w:shd w:val="clear" w:fill="12305B"/>
          </w:tcPr>
          <w:p>
            <w:pPr>
              <w:spacing w:after="40" w:before="40"/>
            </w:pPr>
            <w:r/>
            <w:r>
              <w:rPr>
                <w:b/>
                <w:color w:val="FFFFFF"/>
                <w:sz w:val="18"/>
              </w:rPr>
              <w:t>Peak month</w:t>
            </w:r>
          </w:p>
        </w:tc>
        <w:tc>
          <w:tcPr>
            <w:tcW w:type="dxa" w:w="1134"/>
            <w:shd w:val="clear" w:fill="12305B"/>
          </w:tcPr>
          <w:p>
            <w:pPr>
              <w:spacing w:after="40" w:before="40"/>
              <w:jc w:val="right"/>
            </w:pPr>
            <w:r/>
            <w:r>
              <w:rPr>
                <w:b/>
                <w:color w:val="FFFFFF"/>
                <w:sz w:val="18"/>
              </w:rPr>
              <w:t>vs own peak</w:t>
            </w:r>
          </w:p>
        </w:tc>
      </w:tr>
      <w:tr>
        <w:tc>
          <w:tcPr>
            <w:tcW w:type="dxa" w:w="1701"/>
          </w:tcPr>
          <w:p>
            <w:pPr>
              <w:spacing w:after="40" w:before="40"/>
            </w:pPr>
            <w:r/>
            <w:r>
              <w:rPr>
                <w:sz w:val="18"/>
              </w:rPr>
              <w:t>Free State</w:t>
            </w:r>
          </w:p>
        </w:tc>
        <w:tc>
          <w:tcPr>
            <w:tcW w:type="dxa" w:w="1587"/>
          </w:tcPr>
          <w:p>
            <w:pPr>
              <w:spacing w:after="40" w:before="40"/>
              <w:jc w:val="right"/>
            </w:pPr>
            <w:r/>
            <w:r>
              <w:rPr>
                <w:sz w:val="18"/>
              </w:rPr>
              <w:t>R18,009,802</w:t>
            </w:r>
          </w:p>
        </w:tc>
        <w:tc>
          <w:tcPr>
            <w:tcW w:type="dxa" w:w="907"/>
          </w:tcPr>
          <w:p>
            <w:pPr>
              <w:spacing w:after="40" w:before="40"/>
              <w:jc w:val="right"/>
            </w:pPr>
            <w:r/>
            <w:r>
              <w:rPr>
                <w:sz w:val="18"/>
              </w:rPr>
              <w:t>27.5%</w:t>
            </w:r>
          </w:p>
        </w:tc>
        <w:tc>
          <w:tcPr>
            <w:tcW w:type="dxa" w:w="1474"/>
          </w:tcPr>
          <w:p>
            <w:pPr>
              <w:spacing w:after="40" w:before="40"/>
              <w:jc w:val="right"/>
            </w:pPr>
            <w:r/>
            <w:r>
              <w:rPr>
                <w:sz w:val="18"/>
              </w:rPr>
              <w:t>+4.4%</w:t>
            </w:r>
          </w:p>
        </w:tc>
        <w:tc>
          <w:tcPr>
            <w:tcW w:type="dxa" w:w="1587"/>
          </w:tcPr>
          <w:p>
            <w:pPr>
              <w:spacing w:after="40" w:before="40"/>
              <w:jc w:val="right"/>
            </w:pPr>
            <w:r/>
            <w:r>
              <w:rPr>
                <w:sz w:val="18"/>
              </w:rPr>
              <w:t>+0.9%</w:t>
            </w:r>
          </w:p>
        </w:tc>
        <w:tc>
          <w:tcPr>
            <w:tcW w:type="dxa" w:w="1134"/>
          </w:tcPr>
          <w:p>
            <w:pPr>
              <w:spacing w:after="40" w:before="40"/>
            </w:pPr>
            <w:r/>
            <w:r>
              <w:rPr>
                <w:sz w:val="18"/>
              </w:rPr>
              <w:t>2026-07</w:t>
            </w:r>
          </w:p>
        </w:tc>
        <w:tc>
          <w:tcPr>
            <w:tcW w:type="dxa" w:w="1134"/>
          </w:tcPr>
          <w:p>
            <w:pPr>
              <w:spacing w:after="40" w:before="40"/>
              <w:jc w:val="right"/>
            </w:pPr>
            <w:r/>
            <w:r>
              <w:rPr>
                <w:sz w:val="18"/>
              </w:rPr>
              <w:t>+0.0%</w:t>
            </w:r>
          </w:p>
        </w:tc>
      </w:tr>
      <w:tr>
        <w:tc>
          <w:tcPr>
            <w:tcW w:type="dxa" w:w="1701"/>
            <w:shd w:val="clear" w:fill="F2F6FB"/>
          </w:tcPr>
          <w:p>
            <w:pPr>
              <w:spacing w:after="40" w:before="40"/>
            </w:pPr>
            <w:r/>
            <w:r>
              <w:rPr>
                <w:sz w:val="18"/>
              </w:rPr>
              <w:t>Gauteng</w:t>
            </w:r>
          </w:p>
        </w:tc>
        <w:tc>
          <w:tcPr>
            <w:tcW w:type="dxa" w:w="1587"/>
            <w:shd w:val="clear" w:fill="F2F6FB"/>
          </w:tcPr>
          <w:p>
            <w:pPr>
              <w:spacing w:after="40" w:before="40"/>
              <w:jc w:val="right"/>
            </w:pPr>
            <w:r/>
            <w:r>
              <w:rPr>
                <w:sz w:val="18"/>
              </w:rPr>
              <w:t>R16,145,481</w:t>
            </w:r>
          </w:p>
        </w:tc>
        <w:tc>
          <w:tcPr>
            <w:tcW w:type="dxa" w:w="907"/>
            <w:shd w:val="clear" w:fill="F2F6FB"/>
          </w:tcPr>
          <w:p>
            <w:pPr>
              <w:spacing w:after="40" w:before="40"/>
              <w:jc w:val="right"/>
            </w:pPr>
            <w:r/>
            <w:r>
              <w:rPr>
                <w:sz w:val="18"/>
              </w:rPr>
              <w:t>24.6%</w:t>
            </w:r>
          </w:p>
        </w:tc>
        <w:tc>
          <w:tcPr>
            <w:tcW w:type="dxa" w:w="1474"/>
            <w:shd w:val="clear" w:fill="F2F6FB"/>
          </w:tcPr>
          <w:p>
            <w:pPr>
              <w:spacing w:after="40" w:before="40"/>
              <w:jc w:val="right"/>
            </w:pPr>
            <w:r/>
            <w:r>
              <w:rPr>
                <w:sz w:val="18"/>
              </w:rPr>
              <w:t>+4.5%</w:t>
            </w:r>
          </w:p>
        </w:tc>
        <w:tc>
          <w:tcPr>
            <w:tcW w:type="dxa" w:w="1587"/>
            <w:shd w:val="clear" w:fill="F2F6FB"/>
          </w:tcPr>
          <w:p>
            <w:pPr>
              <w:spacing w:after="40" w:before="40"/>
              <w:jc w:val="right"/>
            </w:pPr>
            <w:r/>
            <w:r>
              <w:rPr>
                <w:sz w:val="18"/>
              </w:rPr>
              <w:t>+3.6%</w:t>
            </w:r>
          </w:p>
        </w:tc>
        <w:tc>
          <w:tcPr>
            <w:tcW w:type="dxa" w:w="1134"/>
            <w:shd w:val="clear" w:fill="F2F6FB"/>
          </w:tcPr>
          <w:p>
            <w:pPr>
              <w:spacing w:after="40" w:before="40"/>
            </w:pPr>
            <w:r/>
            <w:r>
              <w:rPr>
                <w:sz w:val="18"/>
              </w:rPr>
              <w:t>2026-07</w:t>
            </w:r>
          </w:p>
        </w:tc>
        <w:tc>
          <w:tcPr>
            <w:tcW w:type="dxa" w:w="1134"/>
            <w:shd w:val="clear" w:fill="F2F6FB"/>
          </w:tcPr>
          <w:p>
            <w:pPr>
              <w:spacing w:after="40" w:before="40"/>
              <w:jc w:val="right"/>
            </w:pPr>
            <w:r/>
            <w:r>
              <w:rPr>
                <w:sz w:val="18"/>
              </w:rPr>
              <w:t>+0.0%</w:t>
            </w:r>
          </w:p>
        </w:tc>
      </w:tr>
      <w:tr>
        <w:tc>
          <w:tcPr>
            <w:tcW w:type="dxa" w:w="1701"/>
          </w:tcPr>
          <w:p>
            <w:pPr>
              <w:spacing w:after="40" w:before="40"/>
            </w:pPr>
            <w:r/>
            <w:r>
              <w:rPr>
                <w:sz w:val="18"/>
              </w:rPr>
              <w:t>Western Cape</w:t>
            </w:r>
          </w:p>
        </w:tc>
        <w:tc>
          <w:tcPr>
            <w:tcW w:type="dxa" w:w="1587"/>
          </w:tcPr>
          <w:p>
            <w:pPr>
              <w:spacing w:after="40" w:before="40"/>
              <w:jc w:val="right"/>
            </w:pPr>
            <w:r/>
            <w:r>
              <w:rPr>
                <w:sz w:val="18"/>
              </w:rPr>
              <w:t>R13,068,297</w:t>
            </w:r>
          </w:p>
        </w:tc>
        <w:tc>
          <w:tcPr>
            <w:tcW w:type="dxa" w:w="907"/>
          </w:tcPr>
          <w:p>
            <w:pPr>
              <w:spacing w:after="40" w:before="40"/>
              <w:jc w:val="right"/>
            </w:pPr>
            <w:r/>
            <w:r>
              <w:rPr>
                <w:sz w:val="18"/>
              </w:rPr>
              <w:t>19.9%</w:t>
            </w:r>
          </w:p>
        </w:tc>
        <w:tc>
          <w:tcPr>
            <w:tcW w:type="dxa" w:w="1474"/>
          </w:tcPr>
          <w:p>
            <w:pPr>
              <w:spacing w:after="40" w:before="40"/>
              <w:jc w:val="right"/>
            </w:pPr>
            <w:r/>
            <w:r>
              <w:rPr>
                <w:sz w:val="18"/>
              </w:rPr>
              <w:t>+4.4%</w:t>
            </w:r>
          </w:p>
        </w:tc>
        <w:tc>
          <w:tcPr>
            <w:tcW w:type="dxa" w:w="1587"/>
          </w:tcPr>
          <w:p>
            <w:pPr>
              <w:spacing w:after="40" w:before="40"/>
              <w:jc w:val="right"/>
            </w:pPr>
            <w:r/>
            <w:r>
              <w:rPr>
                <w:sz w:val="18"/>
              </w:rPr>
              <w:t>+3.2%</w:t>
            </w:r>
          </w:p>
        </w:tc>
        <w:tc>
          <w:tcPr>
            <w:tcW w:type="dxa" w:w="1134"/>
          </w:tcPr>
          <w:p>
            <w:pPr>
              <w:spacing w:after="40" w:before="40"/>
            </w:pPr>
            <w:r/>
            <w:r>
              <w:rPr>
                <w:sz w:val="18"/>
              </w:rPr>
              <w:t>2026-07</w:t>
            </w:r>
          </w:p>
        </w:tc>
        <w:tc>
          <w:tcPr>
            <w:tcW w:type="dxa" w:w="1134"/>
          </w:tcPr>
          <w:p>
            <w:pPr>
              <w:spacing w:after="40" w:before="40"/>
              <w:jc w:val="right"/>
            </w:pPr>
            <w:r/>
            <w:r>
              <w:rPr>
                <w:sz w:val="18"/>
              </w:rPr>
              <w:t>+0.0%</w:t>
            </w:r>
          </w:p>
        </w:tc>
      </w:tr>
      <w:tr>
        <w:tc>
          <w:tcPr>
            <w:tcW w:type="dxa" w:w="1701"/>
            <w:shd w:val="clear" w:fill="F2F6FB"/>
          </w:tcPr>
          <w:p>
            <w:pPr>
              <w:spacing w:after="40" w:before="40"/>
            </w:pPr>
            <w:r/>
            <w:r>
              <w:rPr>
                <w:sz w:val="18"/>
              </w:rPr>
              <w:t>KwaZulu-Natal</w:t>
            </w:r>
          </w:p>
        </w:tc>
        <w:tc>
          <w:tcPr>
            <w:tcW w:type="dxa" w:w="1587"/>
            <w:shd w:val="clear" w:fill="F2F6FB"/>
          </w:tcPr>
          <w:p>
            <w:pPr>
              <w:spacing w:after="40" w:before="40"/>
              <w:jc w:val="right"/>
            </w:pPr>
            <w:r/>
            <w:r>
              <w:rPr>
                <w:sz w:val="18"/>
              </w:rPr>
              <w:t>R9,516,589</w:t>
            </w:r>
          </w:p>
        </w:tc>
        <w:tc>
          <w:tcPr>
            <w:tcW w:type="dxa" w:w="907"/>
            <w:shd w:val="clear" w:fill="F2F6FB"/>
          </w:tcPr>
          <w:p>
            <w:pPr>
              <w:spacing w:after="40" w:before="40"/>
              <w:jc w:val="right"/>
            </w:pPr>
            <w:r/>
            <w:r>
              <w:rPr>
                <w:sz w:val="18"/>
              </w:rPr>
              <w:t>14.5%</w:t>
            </w:r>
          </w:p>
        </w:tc>
        <w:tc>
          <w:tcPr>
            <w:tcW w:type="dxa" w:w="1474"/>
            <w:shd w:val="clear" w:fill="F2F6FB"/>
          </w:tcPr>
          <w:p>
            <w:pPr>
              <w:spacing w:after="40" w:before="40"/>
              <w:jc w:val="right"/>
            </w:pPr>
            <w:r/>
            <w:r>
              <w:rPr>
                <w:sz w:val="18"/>
              </w:rPr>
              <w:t>+8.5%</w:t>
            </w:r>
          </w:p>
        </w:tc>
        <w:tc>
          <w:tcPr>
            <w:tcW w:type="dxa" w:w="1587"/>
            <w:shd w:val="clear" w:fill="F2F6FB"/>
          </w:tcPr>
          <w:p>
            <w:pPr>
              <w:spacing w:after="40" w:before="40"/>
              <w:jc w:val="right"/>
            </w:pPr>
            <w:r/>
            <w:r>
              <w:rPr>
                <w:sz w:val="18"/>
              </w:rPr>
              <w:t>+4.1%</w:t>
            </w:r>
          </w:p>
        </w:tc>
        <w:tc>
          <w:tcPr>
            <w:tcW w:type="dxa" w:w="1134"/>
            <w:shd w:val="clear" w:fill="F2F6FB"/>
          </w:tcPr>
          <w:p>
            <w:pPr>
              <w:spacing w:after="40" w:before="40"/>
            </w:pPr>
            <w:r/>
            <w:r>
              <w:rPr>
                <w:sz w:val="18"/>
              </w:rPr>
              <w:t>2026-07</w:t>
            </w:r>
          </w:p>
        </w:tc>
        <w:tc>
          <w:tcPr>
            <w:tcW w:type="dxa" w:w="1134"/>
            <w:shd w:val="clear" w:fill="F2F6FB"/>
          </w:tcPr>
          <w:p>
            <w:pPr>
              <w:spacing w:after="40" w:before="40"/>
              <w:jc w:val="right"/>
            </w:pPr>
            <w:r/>
            <w:r>
              <w:rPr>
                <w:sz w:val="18"/>
              </w:rPr>
              <w:t>+0.0%</w:t>
            </w:r>
          </w:p>
        </w:tc>
      </w:tr>
      <w:tr>
        <w:tc>
          <w:tcPr>
            <w:tcW w:type="dxa" w:w="1701"/>
          </w:tcPr>
          <w:p>
            <w:pPr>
              <w:spacing w:after="40" w:before="40"/>
            </w:pPr>
            <w:r/>
            <w:r>
              <w:rPr>
                <w:sz w:val="18"/>
              </w:rPr>
              <w:t>Eastern Cape</w:t>
            </w:r>
          </w:p>
        </w:tc>
        <w:tc>
          <w:tcPr>
            <w:tcW w:type="dxa" w:w="1587"/>
          </w:tcPr>
          <w:p>
            <w:pPr>
              <w:spacing w:after="40" w:before="40"/>
              <w:jc w:val="right"/>
            </w:pPr>
            <w:r/>
            <w:r>
              <w:rPr>
                <w:sz w:val="18"/>
              </w:rPr>
              <w:t>R8,781,130</w:t>
            </w:r>
          </w:p>
        </w:tc>
        <w:tc>
          <w:tcPr>
            <w:tcW w:type="dxa" w:w="907"/>
          </w:tcPr>
          <w:p>
            <w:pPr>
              <w:spacing w:after="40" w:before="40"/>
              <w:jc w:val="right"/>
            </w:pPr>
            <w:r/>
            <w:r>
              <w:rPr>
                <w:sz w:val="18"/>
              </w:rPr>
              <w:t>13.4%</w:t>
            </w:r>
          </w:p>
        </w:tc>
        <w:tc>
          <w:tcPr>
            <w:tcW w:type="dxa" w:w="1474"/>
          </w:tcPr>
          <w:p>
            <w:pPr>
              <w:spacing w:after="40" w:before="40"/>
              <w:jc w:val="right"/>
            </w:pPr>
            <w:r/>
            <w:r>
              <w:rPr>
                <w:sz w:val="18"/>
              </w:rPr>
              <w:t>+2.0%</w:t>
            </w:r>
          </w:p>
        </w:tc>
        <w:tc>
          <w:tcPr>
            <w:tcW w:type="dxa" w:w="1587"/>
          </w:tcPr>
          <w:p>
            <w:pPr>
              <w:spacing w:after="40" w:before="40"/>
              <w:jc w:val="right"/>
            </w:pPr>
            <w:r/>
            <w:r>
              <w:rPr>
                <w:sz w:val="18"/>
              </w:rPr>
              <w:t>+2.8%</w:t>
            </w:r>
          </w:p>
        </w:tc>
        <w:tc>
          <w:tcPr>
            <w:tcW w:type="dxa" w:w="1134"/>
          </w:tcPr>
          <w:p>
            <w:pPr>
              <w:spacing w:after="40" w:before="40"/>
            </w:pPr>
            <w:r/>
            <w:r>
              <w:rPr>
                <w:sz w:val="18"/>
              </w:rPr>
              <w:t>2026-05</w:t>
            </w:r>
          </w:p>
        </w:tc>
        <w:tc>
          <w:tcPr>
            <w:tcW w:type="dxa" w:w="1134"/>
          </w:tcPr>
          <w:p>
            <w:pPr>
              <w:spacing w:after="40" w:before="40"/>
              <w:jc w:val="right"/>
            </w:pPr>
            <w:r/>
            <w:r>
              <w:rPr>
                <w:sz w:val="18"/>
              </w:rPr>
              <w:t>-9.8%</w:t>
            </w:r>
          </w:p>
        </w:tc>
      </w:tr>
    </w:tbl>
    <w:p>
      <w:pPr>
        <w:spacing w:after="80"/>
      </w:pPr>
    </w:p>
    <w:p>
      <w:pPr>
        <w:spacing w:after="140" w:before="0"/>
      </w:pPr>
      <w:r>
        <w:rPr>
          <w:b w:val="0"/>
          <w:i w:val="0"/>
          <w:sz w:val="21"/>
        </w:rPr>
        <w:t>A single month's movement would not justify calling a decline. Four signals pointing the same way does. Three of the five Critical/Watch merchants sit in Eastern Cape (Table Bay Express, Pretoria PayPoint, Mzansi Mini Market), so this is a regional pattern rather than one bad account.</w:t>
      </w:r>
    </w:p>
    <w:p>
      <w:pPr>
        <w:pStyle w:val="Heading2"/>
      </w:pPr>
      <w:r>
        <w:t>Q4. Are support ticket volumes, priority or long resolution times associated with weaker merchant performance?</w:t>
      </w:r>
    </w:p>
    <w:p>
      <w:pPr>
        <w:spacing w:after="140"/>
      </w:pPr>
      <w:r>
        <w:rPr>
          <w:b/>
          <w:color w:val="12305B"/>
          <w:sz w:val="21"/>
        </w:rPr>
        <w:t>Not as a portfolio-level rule — but decisively at the level of individual events.</w:t>
      </w:r>
      <w:r>
        <w:rPr>
          <w:b w:val="0"/>
          <w:sz w:val="21"/>
        </w:rPr>
      </w:r>
    </w:p>
    <w:p>
      <w:pPr>
        <w:spacing w:after="140" w:before="0"/>
      </w:pPr>
      <w:r>
        <w:rPr>
          <w:b w:val="0"/>
          <w:i w:val="0"/>
          <w:sz w:val="21"/>
        </w:rPr>
        <w:t>The tempting answer is that tickets per 1,000 transactions correlates with target attainment at r = -0.56, so friction hurts performance. That answer is confounded, and reporting it would have been a mistake.</w:t>
      </w:r>
    </w:p>
    <w:p>
      <w:pPr>
        <w:pStyle w:val="ListBullet"/>
        <w:spacing w:after="60"/>
        <w:ind w:left="340"/>
      </w:pPr>
      <w:r>
        <w:rPr>
          <w:sz w:val="21"/>
        </w:rPr>
        <w:t>The ratio is strongly size-dependent: r = -0.83 against log(total sales). Small merchants score badly purely because the denominator is small.</w:t>
      </w:r>
    </w:p>
    <w:p>
      <w:pPr>
        <w:pStyle w:val="ListBullet"/>
        <w:spacing w:after="60"/>
        <w:ind w:left="340"/>
      </w:pPr>
      <w:r>
        <w:rPr>
          <w:sz w:val="21"/>
        </w:rPr>
        <w:t>Controlling for size, the partial correlation collapses to r = -0.20.</w:t>
      </w:r>
    </w:p>
    <w:p>
      <w:pPr>
        <w:pStyle w:val="ListBullet"/>
        <w:spacing w:after="60"/>
        <w:ind w:left="340"/>
      </w:pPr>
      <w:r>
        <w:rPr>
          <w:sz w:val="21"/>
        </w:rPr>
        <w:t>SLA breach rate and average resolution time show no association with performance at all (r = +0.04 and −0.19).</w:t>
      </w:r>
    </w:p>
    <w:p>
      <w:pPr>
        <w:spacing w:after="140" w:before="0"/>
      </w:pPr>
      <w:r>
        <w:rPr>
          <w:b w:val="0"/>
          <w:i w:val="0"/>
          <w:sz w:val="21"/>
        </w:rPr>
        <w:t>What is real is event-level. Four months show a merchant's ticket volume more than doubling against its own prior three months:</w:t>
      </w:r>
    </w:p>
    <w:tbl>
      <w:tblPr>
        <w:tblStyle w:val="TableGrid"/>
        <w:tblW w:type="auto" w:w="0"/>
        <w:jc w:val="center"/>
        <w:tblLook w:firstColumn="1" w:firstRow="1" w:lastColumn="0" w:lastRow="0" w:noHBand="0" w:noVBand="1" w:val="04A0"/>
      </w:tblPr>
      <w:tblGrid>
        <w:gridCol w:w="1361"/>
        <w:gridCol w:w="1361"/>
        <w:gridCol w:w="1361"/>
        <w:gridCol w:w="1361"/>
        <w:gridCol w:w="1361"/>
        <w:gridCol w:w="1361"/>
        <w:gridCol w:w="1361"/>
      </w:tblGrid>
      <w:tr>
        <w:tc>
          <w:tcPr>
            <w:tcW w:type="dxa" w:w="2041"/>
            <w:shd w:val="clear" w:fill="12305B"/>
          </w:tcPr>
          <w:p>
            <w:pPr>
              <w:spacing w:after="40" w:before="40"/>
            </w:pPr>
            <w:r/>
            <w:r>
              <w:rPr>
                <w:b/>
                <w:color w:val="FFFFFF"/>
                <w:sz w:val="18"/>
              </w:rPr>
              <w:t>Merchant</w:t>
            </w:r>
          </w:p>
        </w:tc>
        <w:tc>
          <w:tcPr>
            <w:tcW w:type="dxa" w:w="1134"/>
            <w:shd w:val="clear" w:fill="12305B"/>
          </w:tcPr>
          <w:p>
            <w:pPr>
              <w:spacing w:after="40" w:before="40"/>
            </w:pPr>
            <w:r/>
            <w:r>
              <w:rPr>
                <w:b/>
                <w:color w:val="FFFFFF"/>
                <w:sz w:val="18"/>
              </w:rPr>
              <w:t>Month</w:t>
            </w:r>
          </w:p>
        </w:tc>
        <w:tc>
          <w:tcPr>
            <w:tcW w:type="dxa" w:w="907"/>
            <w:shd w:val="clear" w:fill="12305B"/>
          </w:tcPr>
          <w:p>
            <w:pPr>
              <w:spacing w:after="40" w:before="40"/>
              <w:jc w:val="right"/>
            </w:pPr>
            <w:r/>
            <w:r>
              <w:rPr>
                <w:b/>
                <w:color w:val="FFFFFF"/>
                <w:sz w:val="18"/>
              </w:rPr>
              <w:t>Tickets</w:t>
            </w:r>
          </w:p>
        </w:tc>
        <w:tc>
          <w:tcPr>
            <w:tcW w:type="dxa" w:w="1020"/>
            <w:shd w:val="clear" w:fill="12305B"/>
          </w:tcPr>
          <w:p>
            <w:pPr>
              <w:spacing w:after="40" w:before="40"/>
              <w:jc w:val="right"/>
            </w:pPr>
            <w:r/>
            <w:r>
              <w:rPr>
                <w:b/>
                <w:color w:val="FFFFFF"/>
                <w:sz w:val="18"/>
              </w:rPr>
              <w:t>Prior avg</w:t>
            </w:r>
          </w:p>
        </w:tc>
        <w:tc>
          <w:tcPr>
            <w:tcW w:type="dxa" w:w="1247"/>
            <w:shd w:val="clear" w:fill="12305B"/>
          </w:tcPr>
          <w:p>
            <w:pPr>
              <w:spacing w:after="40" w:before="40"/>
              <w:jc w:val="right"/>
            </w:pPr>
            <w:r/>
            <w:r>
              <w:rPr>
                <w:b/>
                <w:color w:val="FFFFFF"/>
                <w:sz w:val="18"/>
              </w:rPr>
              <w:t>Ticket uplift</w:t>
            </w:r>
          </w:p>
        </w:tc>
        <w:tc>
          <w:tcPr>
            <w:tcW w:type="dxa" w:w="1474"/>
            <w:shd w:val="clear" w:fill="12305B"/>
          </w:tcPr>
          <w:p>
            <w:pPr>
              <w:spacing w:after="40" w:before="40"/>
              <w:jc w:val="right"/>
            </w:pPr>
            <w:r/>
            <w:r>
              <w:rPr>
                <w:b/>
                <w:color w:val="FFFFFF"/>
                <w:sz w:val="18"/>
              </w:rPr>
              <w:t>Sales vs prior 3M</w:t>
            </w:r>
          </w:p>
        </w:tc>
        <w:tc>
          <w:tcPr>
            <w:tcW w:type="dxa" w:w="1701"/>
            <w:shd w:val="clear" w:fill="12305B"/>
          </w:tcPr>
          <w:p>
            <w:pPr>
              <w:spacing w:after="40" w:before="40"/>
            </w:pPr>
            <w:r/>
            <w:r>
              <w:rPr>
                <w:b/>
                <w:color w:val="FFFFFF"/>
                <w:sz w:val="18"/>
              </w:rPr>
              <w:t>Diagnosis</w:t>
            </w:r>
          </w:p>
        </w:tc>
      </w:tr>
      <w:tr>
        <w:tc>
          <w:tcPr>
            <w:tcW w:type="dxa" w:w="2041"/>
          </w:tcPr>
          <w:p>
            <w:pPr>
              <w:spacing w:after="40" w:before="40"/>
            </w:pPr>
            <w:r/>
            <w:r>
              <w:rPr>
                <w:sz w:val="18"/>
              </w:rPr>
              <w:t>Durban Cash Hub</w:t>
            </w:r>
          </w:p>
        </w:tc>
        <w:tc>
          <w:tcPr>
            <w:tcW w:type="dxa" w:w="1134"/>
          </w:tcPr>
          <w:p>
            <w:pPr>
              <w:spacing w:after="40" w:before="40"/>
            </w:pPr>
            <w:r/>
            <w:r>
              <w:rPr>
                <w:sz w:val="18"/>
              </w:rPr>
              <w:t>2026-06</w:t>
            </w:r>
          </w:p>
        </w:tc>
        <w:tc>
          <w:tcPr>
            <w:tcW w:type="dxa" w:w="907"/>
          </w:tcPr>
          <w:p>
            <w:pPr>
              <w:spacing w:after="40" w:before="40"/>
              <w:jc w:val="right"/>
            </w:pPr>
            <w:r/>
            <w:r>
              <w:rPr>
                <w:sz w:val="18"/>
              </w:rPr>
              <w:t>44</w:t>
            </w:r>
          </w:p>
        </w:tc>
        <w:tc>
          <w:tcPr>
            <w:tcW w:type="dxa" w:w="1020"/>
          </w:tcPr>
          <w:p>
            <w:pPr>
              <w:spacing w:after="40" w:before="40"/>
              <w:jc w:val="right"/>
            </w:pPr>
            <w:r/>
            <w:r>
              <w:rPr>
                <w:sz w:val="18"/>
              </w:rPr>
              <w:t>5.0</w:t>
            </w:r>
          </w:p>
        </w:tc>
        <w:tc>
          <w:tcPr>
            <w:tcW w:type="dxa" w:w="1247"/>
          </w:tcPr>
          <w:p>
            <w:pPr>
              <w:spacing w:after="40" w:before="40"/>
              <w:jc w:val="right"/>
            </w:pPr>
            <w:r/>
            <w:r>
              <w:rPr>
                <w:sz w:val="18"/>
              </w:rPr>
              <w:t>+780%</w:t>
            </w:r>
          </w:p>
        </w:tc>
        <w:tc>
          <w:tcPr>
            <w:tcW w:type="dxa" w:w="1474"/>
          </w:tcPr>
          <w:p>
            <w:pPr>
              <w:spacing w:after="40" w:before="40"/>
              <w:jc w:val="right"/>
            </w:pPr>
            <w:r/>
            <w:r>
              <w:rPr>
                <w:sz w:val="18"/>
              </w:rPr>
              <w:t>+8.2%</w:t>
            </w:r>
          </w:p>
        </w:tc>
        <w:tc>
          <w:tcPr>
            <w:tcW w:type="dxa" w:w="1701"/>
          </w:tcPr>
          <w:p>
            <w:pPr>
              <w:spacing w:after="40" w:before="40"/>
            </w:pPr>
            <w:r/>
            <w:r>
              <w:rPr>
                <w:sz w:val="18"/>
              </w:rPr>
              <w:t>Service issue, healthy account</w:t>
            </w:r>
          </w:p>
        </w:tc>
      </w:tr>
      <w:tr>
        <w:tc>
          <w:tcPr>
            <w:tcW w:type="dxa" w:w="2041"/>
            <w:shd w:val="clear" w:fill="F2F6FB"/>
          </w:tcPr>
          <w:p>
            <w:pPr>
              <w:spacing w:after="40" w:before="40"/>
            </w:pPr>
            <w:r/>
            <w:r>
              <w:rPr>
                <w:sz w:val="18"/>
              </w:rPr>
              <w:t>Durban Cash Hub</w:t>
            </w:r>
          </w:p>
        </w:tc>
        <w:tc>
          <w:tcPr>
            <w:tcW w:type="dxa" w:w="1134"/>
            <w:shd w:val="clear" w:fill="F2F6FB"/>
          </w:tcPr>
          <w:p>
            <w:pPr>
              <w:spacing w:after="40" w:before="40"/>
            </w:pPr>
            <w:r/>
            <w:r>
              <w:rPr>
                <w:sz w:val="18"/>
              </w:rPr>
              <w:t>2026-07</w:t>
            </w:r>
          </w:p>
        </w:tc>
        <w:tc>
          <w:tcPr>
            <w:tcW w:type="dxa" w:w="907"/>
            <w:shd w:val="clear" w:fill="F2F6FB"/>
          </w:tcPr>
          <w:p>
            <w:pPr>
              <w:spacing w:after="40" w:before="40"/>
              <w:jc w:val="right"/>
            </w:pPr>
            <w:r/>
            <w:r>
              <w:rPr>
                <w:sz w:val="18"/>
              </w:rPr>
              <w:t>52</w:t>
            </w:r>
          </w:p>
        </w:tc>
        <w:tc>
          <w:tcPr>
            <w:tcW w:type="dxa" w:w="1020"/>
            <w:shd w:val="clear" w:fill="F2F6FB"/>
          </w:tcPr>
          <w:p>
            <w:pPr>
              <w:spacing w:after="40" w:before="40"/>
              <w:jc w:val="right"/>
            </w:pPr>
            <w:r/>
            <w:r>
              <w:rPr>
                <w:sz w:val="18"/>
              </w:rPr>
              <w:t>18.3</w:t>
            </w:r>
          </w:p>
        </w:tc>
        <w:tc>
          <w:tcPr>
            <w:tcW w:type="dxa" w:w="1247"/>
            <w:shd w:val="clear" w:fill="F2F6FB"/>
          </w:tcPr>
          <w:p>
            <w:pPr>
              <w:spacing w:after="40" w:before="40"/>
              <w:jc w:val="right"/>
            </w:pPr>
            <w:r/>
            <w:r>
              <w:rPr>
                <w:sz w:val="18"/>
              </w:rPr>
              <w:t>+184%</w:t>
            </w:r>
          </w:p>
        </w:tc>
        <w:tc>
          <w:tcPr>
            <w:tcW w:type="dxa" w:w="1474"/>
            <w:shd w:val="clear" w:fill="F2F6FB"/>
          </w:tcPr>
          <w:p>
            <w:pPr>
              <w:spacing w:after="40" w:before="40"/>
              <w:jc w:val="right"/>
            </w:pPr>
            <w:r/>
            <w:r>
              <w:rPr>
                <w:sz w:val="18"/>
              </w:rPr>
              <w:t>+6.3%</w:t>
            </w:r>
          </w:p>
        </w:tc>
        <w:tc>
          <w:tcPr>
            <w:tcW w:type="dxa" w:w="1701"/>
            <w:shd w:val="clear" w:fill="F2F6FB"/>
          </w:tcPr>
          <w:p>
            <w:pPr>
              <w:spacing w:after="40" w:before="40"/>
            </w:pPr>
            <w:r/>
            <w:r>
              <w:rPr>
                <w:sz w:val="18"/>
              </w:rPr>
              <w:t>Service issue, healthy account</w:t>
            </w:r>
          </w:p>
        </w:tc>
      </w:tr>
      <w:tr>
        <w:tc>
          <w:tcPr>
            <w:tcW w:type="dxa" w:w="2041"/>
          </w:tcPr>
          <w:p>
            <w:pPr>
              <w:spacing w:after="40" w:before="40"/>
            </w:pPr>
            <w:r/>
            <w:r>
              <w:rPr>
                <w:sz w:val="18"/>
              </w:rPr>
              <w:t>Umhlanga Value Mart</w:t>
            </w:r>
          </w:p>
        </w:tc>
        <w:tc>
          <w:tcPr>
            <w:tcW w:type="dxa" w:w="1134"/>
          </w:tcPr>
          <w:p>
            <w:pPr>
              <w:spacing w:after="40" w:before="40"/>
            </w:pPr>
            <w:r/>
            <w:r>
              <w:rPr>
                <w:sz w:val="18"/>
              </w:rPr>
              <w:t>2026-07</w:t>
            </w:r>
          </w:p>
        </w:tc>
        <w:tc>
          <w:tcPr>
            <w:tcW w:type="dxa" w:w="907"/>
          </w:tcPr>
          <w:p>
            <w:pPr>
              <w:spacing w:after="40" w:before="40"/>
              <w:jc w:val="right"/>
            </w:pPr>
            <w:r/>
            <w:r>
              <w:rPr>
                <w:sz w:val="18"/>
              </w:rPr>
              <w:t>37</w:t>
            </w:r>
          </w:p>
        </w:tc>
        <w:tc>
          <w:tcPr>
            <w:tcW w:type="dxa" w:w="1020"/>
          </w:tcPr>
          <w:p>
            <w:pPr>
              <w:spacing w:after="40" w:before="40"/>
              <w:jc w:val="right"/>
            </w:pPr>
            <w:r/>
            <w:r>
              <w:rPr>
                <w:sz w:val="18"/>
              </w:rPr>
              <w:t>4.7</w:t>
            </w:r>
          </w:p>
        </w:tc>
        <w:tc>
          <w:tcPr>
            <w:tcW w:type="dxa" w:w="1247"/>
          </w:tcPr>
          <w:p>
            <w:pPr>
              <w:spacing w:after="40" w:before="40"/>
              <w:jc w:val="right"/>
            </w:pPr>
            <w:r/>
            <w:r>
              <w:rPr>
                <w:sz w:val="18"/>
              </w:rPr>
              <w:t>+693%</w:t>
            </w:r>
          </w:p>
        </w:tc>
        <w:tc>
          <w:tcPr>
            <w:tcW w:type="dxa" w:w="1474"/>
          </w:tcPr>
          <w:p>
            <w:pPr>
              <w:spacing w:after="40" w:before="40"/>
              <w:jc w:val="right"/>
            </w:pPr>
            <w:r/>
            <w:r>
              <w:rPr>
                <w:sz w:val="18"/>
              </w:rPr>
              <w:t>−42.5%</w:t>
            </w:r>
          </w:p>
        </w:tc>
        <w:tc>
          <w:tcPr>
            <w:tcW w:type="dxa" w:w="1701"/>
          </w:tcPr>
          <w:p>
            <w:pPr>
              <w:spacing w:after="40" w:before="40"/>
            </w:pPr>
            <w:r/>
            <w:r>
              <w:rPr>
                <w:sz w:val="18"/>
              </w:rPr>
              <w:t>Failing account</w:t>
            </w:r>
          </w:p>
        </w:tc>
      </w:tr>
      <w:tr>
        <w:tc>
          <w:tcPr>
            <w:tcW w:type="dxa" w:w="2041"/>
            <w:shd w:val="clear" w:fill="F2F6FB"/>
          </w:tcPr>
          <w:p>
            <w:pPr>
              <w:spacing w:after="40" w:before="40"/>
            </w:pPr>
            <w:r/>
            <w:r>
              <w:rPr>
                <w:sz w:val="18"/>
              </w:rPr>
              <w:t>Soweto Super Save</w:t>
            </w:r>
          </w:p>
        </w:tc>
        <w:tc>
          <w:tcPr>
            <w:tcW w:type="dxa" w:w="1134"/>
            <w:shd w:val="clear" w:fill="F2F6FB"/>
          </w:tcPr>
          <w:p>
            <w:pPr>
              <w:spacing w:after="40" w:before="40"/>
            </w:pPr>
            <w:r/>
            <w:r>
              <w:rPr>
                <w:sz w:val="18"/>
              </w:rPr>
              <w:t>2026-05</w:t>
            </w:r>
          </w:p>
        </w:tc>
        <w:tc>
          <w:tcPr>
            <w:tcW w:type="dxa" w:w="907"/>
            <w:shd w:val="clear" w:fill="F2F6FB"/>
          </w:tcPr>
          <w:p>
            <w:pPr>
              <w:spacing w:after="40" w:before="40"/>
              <w:jc w:val="right"/>
            </w:pPr>
            <w:r/>
            <w:r>
              <w:rPr>
                <w:sz w:val="18"/>
              </w:rPr>
              <w:t>11</w:t>
            </w:r>
          </w:p>
        </w:tc>
        <w:tc>
          <w:tcPr>
            <w:tcW w:type="dxa" w:w="1020"/>
            <w:shd w:val="clear" w:fill="F2F6FB"/>
          </w:tcPr>
          <w:p>
            <w:pPr>
              <w:spacing w:after="40" w:before="40"/>
              <w:jc w:val="right"/>
            </w:pPr>
            <w:r/>
            <w:r>
              <w:rPr>
                <w:sz w:val="18"/>
              </w:rPr>
              <w:t>4.3</w:t>
            </w:r>
          </w:p>
        </w:tc>
        <w:tc>
          <w:tcPr>
            <w:tcW w:type="dxa" w:w="1247"/>
            <w:shd w:val="clear" w:fill="F2F6FB"/>
          </w:tcPr>
          <w:p>
            <w:pPr>
              <w:spacing w:after="40" w:before="40"/>
              <w:jc w:val="right"/>
            </w:pPr>
            <w:r/>
            <w:r>
              <w:rPr>
                <w:sz w:val="18"/>
              </w:rPr>
              <w:t>+154%</w:t>
            </w:r>
          </w:p>
        </w:tc>
        <w:tc>
          <w:tcPr>
            <w:tcW w:type="dxa" w:w="1474"/>
            <w:shd w:val="clear" w:fill="F2F6FB"/>
          </w:tcPr>
          <w:p>
            <w:pPr>
              <w:spacing w:after="40" w:before="40"/>
              <w:jc w:val="right"/>
            </w:pPr>
            <w:r/>
            <w:r>
              <w:rPr>
                <w:sz w:val="18"/>
              </w:rPr>
              <w:t>+13.2%</w:t>
            </w:r>
          </w:p>
        </w:tc>
        <w:tc>
          <w:tcPr>
            <w:tcW w:type="dxa" w:w="1701"/>
            <w:shd w:val="clear" w:fill="F2F6FB"/>
          </w:tcPr>
          <w:p>
            <w:pPr>
              <w:spacing w:after="40" w:before="40"/>
            </w:pPr>
            <w:r/>
            <w:r>
              <w:rPr>
                <w:sz w:val="18"/>
              </w:rPr>
              <w:t>Service issue, healthy account</w:t>
            </w:r>
          </w:p>
        </w:tc>
      </w:tr>
    </w:tbl>
    <w:p>
      <w:pPr>
        <w:spacing w:after="80"/>
      </w:pPr>
    </w:p>
    <w:p>
      <w:pPr>
        <w:spacing w:after="140"/>
      </w:pPr>
      <w:r>
        <w:rPr>
          <w:b/>
          <w:color w:val="0E8B8B"/>
          <w:sz w:val="21"/>
        </w:rPr>
        <w:t xml:space="preserve">Practical conclusion. </w:t>
      </w:r>
      <w:r>
        <w:rPr>
          <w:b w:val="0"/>
          <w:sz w:val="21"/>
        </w:rPr>
        <w:t>Ticket spikes are worth investigating immediately, but they do not predict revenue on their own. Alerting must pair operational movement with commercial movement — which is how the alert logic in this solution is written.</w:t>
      </w:r>
    </w:p>
    <w:p>
      <w:pPr>
        <w:pStyle w:val="Heading2"/>
      </w:pPr>
      <w:r>
        <w:t>Q5. Which merchants should management focus on first, and why?</w:t>
      </w:r>
    </w:p>
    <w:p>
      <w:pPr>
        <w:spacing w:after="140" w:before="0"/>
      </w:pPr>
      <w:r>
        <w:rPr>
          <w:b w:val="0"/>
          <w:i w:val="0"/>
          <w:sz w:val="21"/>
        </w:rPr>
        <w:t>Ranked by revenue at risk, not by severity of decline.</w:t>
      </w:r>
    </w:p>
    <w:tbl>
      <w:tblPr>
        <w:tblStyle w:val="TableGrid"/>
        <w:tblW w:type="auto" w:w="0"/>
        <w:jc w:val="center"/>
        <w:tblLook w:firstColumn="1" w:firstRow="1" w:lastColumn="0" w:lastRow="0" w:noHBand="0" w:noVBand="1" w:val="04A0"/>
      </w:tblPr>
      <w:tblGrid>
        <w:gridCol w:w="1361"/>
        <w:gridCol w:w="1361"/>
        <w:gridCol w:w="1361"/>
        <w:gridCol w:w="1361"/>
        <w:gridCol w:w="1361"/>
        <w:gridCol w:w="1361"/>
        <w:gridCol w:w="1361"/>
      </w:tblGrid>
      <w:tr>
        <w:tc>
          <w:tcPr>
            <w:tcW w:type="dxa" w:w="567"/>
            <w:shd w:val="clear" w:fill="12305B"/>
          </w:tcPr>
          <w:p>
            <w:pPr>
              <w:spacing w:after="40" w:before="40"/>
              <w:jc w:val="right"/>
            </w:pPr>
            <w:r/>
            <w:r>
              <w:rPr>
                <w:b/>
                <w:color w:val="FFFFFF"/>
                <w:sz w:val="18"/>
              </w:rPr>
              <w:t>#</w:t>
            </w:r>
          </w:p>
        </w:tc>
        <w:tc>
          <w:tcPr>
            <w:tcW w:type="dxa" w:w="2608"/>
            <w:shd w:val="clear" w:fill="12305B"/>
          </w:tcPr>
          <w:p>
            <w:pPr>
              <w:spacing w:after="40" w:before="40"/>
            </w:pPr>
            <w:r/>
            <w:r>
              <w:rPr>
                <w:b/>
                <w:color w:val="FFFFFF"/>
                <w:sz w:val="18"/>
              </w:rPr>
              <w:t>Merchant</w:t>
            </w:r>
          </w:p>
        </w:tc>
        <w:tc>
          <w:tcPr>
            <w:tcW w:type="dxa" w:w="1701"/>
            <w:shd w:val="clear" w:fill="12305B"/>
          </w:tcPr>
          <w:p>
            <w:pPr>
              <w:spacing w:after="40" w:before="40"/>
            </w:pPr>
            <w:r/>
            <w:r>
              <w:rPr>
                <w:b/>
                <w:color w:val="FFFFFF"/>
                <w:sz w:val="18"/>
              </w:rPr>
              <w:t>Region</w:t>
            </w:r>
          </w:p>
        </w:tc>
        <w:tc>
          <w:tcPr>
            <w:tcW w:type="dxa" w:w="1134"/>
            <w:shd w:val="clear" w:fill="12305B"/>
          </w:tcPr>
          <w:p>
            <w:pPr>
              <w:spacing w:after="40" w:before="40"/>
              <w:jc w:val="right"/>
            </w:pPr>
            <w:r/>
            <w:r>
              <w:rPr>
                <w:b/>
                <w:color w:val="FFFFFF"/>
                <w:sz w:val="18"/>
              </w:rPr>
              <w:t>Health</w:t>
            </w:r>
          </w:p>
        </w:tc>
        <w:tc>
          <w:tcPr>
            <w:tcW w:type="dxa" w:w="1474"/>
            <w:shd w:val="clear" w:fill="12305B"/>
          </w:tcPr>
          <w:p>
            <w:pPr>
              <w:spacing w:after="40" w:before="40"/>
              <w:jc w:val="right"/>
            </w:pPr>
            <w:r/>
            <w:r>
              <w:rPr>
                <w:b/>
                <w:color w:val="FFFFFF"/>
                <w:sz w:val="18"/>
              </w:rPr>
              <w:t>Latest month</w:t>
            </w:r>
          </w:p>
        </w:tc>
        <w:tc>
          <w:tcPr>
            <w:tcW w:type="dxa" w:w="1361"/>
            <w:shd w:val="clear" w:fill="12305B"/>
          </w:tcPr>
          <w:p>
            <w:pPr>
              <w:spacing w:after="40" w:before="40"/>
              <w:jc w:val="right"/>
            </w:pPr>
            <w:r/>
            <w:r>
              <w:rPr>
                <w:b/>
                <w:color w:val="FFFFFF"/>
                <w:sz w:val="18"/>
              </w:rPr>
              <w:t>vs prior 3M</w:t>
            </w:r>
          </w:p>
        </w:tc>
        <w:tc>
          <w:tcPr>
            <w:tcW w:type="dxa" w:w="1701"/>
            <w:shd w:val="clear" w:fill="12305B"/>
          </w:tcPr>
          <w:p>
            <w:pPr>
              <w:spacing w:after="40" w:before="40"/>
              <w:jc w:val="right"/>
            </w:pPr>
            <w:r/>
            <w:r>
              <w:rPr>
                <w:b/>
                <w:color w:val="FFFFFF"/>
                <w:sz w:val="18"/>
              </w:rPr>
              <w:t>Revenue at risk</w:t>
            </w:r>
          </w:p>
        </w:tc>
      </w:tr>
      <w:tr>
        <w:tc>
          <w:tcPr>
            <w:tcW w:type="dxa" w:w="567"/>
          </w:tcPr>
          <w:p>
            <w:pPr>
              <w:spacing w:after="40" w:before="40"/>
              <w:jc w:val="right"/>
            </w:pPr>
            <w:r/>
            <w:r>
              <w:rPr>
                <w:sz w:val="18"/>
              </w:rPr>
              <w:t>1</w:t>
            </w:r>
          </w:p>
        </w:tc>
        <w:tc>
          <w:tcPr>
            <w:tcW w:type="dxa" w:w="2608"/>
          </w:tcPr>
          <w:p>
            <w:pPr>
              <w:spacing w:after="40" w:before="40"/>
            </w:pPr>
            <w:r/>
            <w:r>
              <w:rPr>
                <w:sz w:val="18"/>
              </w:rPr>
              <w:t>Umhlanga Value Mart</w:t>
            </w:r>
          </w:p>
        </w:tc>
        <w:tc>
          <w:tcPr>
            <w:tcW w:type="dxa" w:w="1701"/>
          </w:tcPr>
          <w:p>
            <w:pPr>
              <w:spacing w:after="40" w:before="40"/>
            </w:pPr>
            <w:r/>
            <w:r>
              <w:rPr>
                <w:sz w:val="18"/>
              </w:rPr>
              <w:t>Free State</w:t>
            </w:r>
          </w:p>
        </w:tc>
        <w:tc>
          <w:tcPr>
            <w:tcW w:type="dxa" w:w="1134"/>
          </w:tcPr>
          <w:p>
            <w:pPr>
              <w:spacing w:after="40" w:before="40"/>
              <w:jc w:val="right"/>
            </w:pPr>
            <w:r/>
            <w:r>
              <w:rPr>
                <w:sz w:val="18"/>
              </w:rPr>
              <w:t>17/100</w:t>
            </w:r>
          </w:p>
        </w:tc>
        <w:tc>
          <w:tcPr>
            <w:tcW w:type="dxa" w:w="1474"/>
          </w:tcPr>
          <w:p>
            <w:pPr>
              <w:spacing w:after="40" w:before="40"/>
              <w:jc w:val="right"/>
            </w:pPr>
            <w:r/>
            <w:r>
              <w:rPr>
                <w:sz w:val="18"/>
              </w:rPr>
              <w:t>R64,394</w:t>
            </w:r>
          </w:p>
        </w:tc>
        <w:tc>
          <w:tcPr>
            <w:tcW w:type="dxa" w:w="1361"/>
          </w:tcPr>
          <w:p>
            <w:pPr>
              <w:spacing w:after="40" w:before="40"/>
              <w:jc w:val="right"/>
            </w:pPr>
            <w:r/>
            <w:r>
              <w:rPr>
                <w:sz w:val="18"/>
              </w:rPr>
              <w:t>-42.5%</w:t>
            </w:r>
          </w:p>
        </w:tc>
        <w:tc>
          <w:tcPr>
            <w:tcW w:type="dxa" w:w="1701"/>
          </w:tcPr>
          <w:p>
            <w:pPr>
              <w:spacing w:after="40" w:before="40"/>
              <w:jc w:val="right"/>
            </w:pPr>
            <w:r/>
            <w:r>
              <w:rPr>
                <w:sz w:val="18"/>
              </w:rPr>
              <w:t>R571,518</w:t>
            </w:r>
          </w:p>
        </w:tc>
      </w:tr>
      <w:tr>
        <w:tc>
          <w:tcPr>
            <w:tcW w:type="dxa" w:w="567"/>
            <w:shd w:val="clear" w:fill="F2F6FB"/>
          </w:tcPr>
          <w:p>
            <w:pPr>
              <w:spacing w:after="40" w:before="40"/>
              <w:jc w:val="right"/>
            </w:pPr>
            <w:r/>
            <w:r>
              <w:rPr>
                <w:sz w:val="18"/>
              </w:rPr>
              <w:t>2</w:t>
            </w:r>
          </w:p>
        </w:tc>
        <w:tc>
          <w:tcPr>
            <w:tcW w:type="dxa" w:w="2608"/>
            <w:shd w:val="clear" w:fill="F2F6FB"/>
          </w:tcPr>
          <w:p>
            <w:pPr>
              <w:spacing w:after="40" w:before="40"/>
            </w:pPr>
            <w:r/>
            <w:r>
              <w:rPr>
                <w:sz w:val="18"/>
              </w:rPr>
              <w:t>Table Bay Express</w:t>
            </w:r>
          </w:p>
        </w:tc>
        <w:tc>
          <w:tcPr>
            <w:tcW w:type="dxa" w:w="1701"/>
            <w:shd w:val="clear" w:fill="F2F6FB"/>
          </w:tcPr>
          <w:p>
            <w:pPr>
              <w:spacing w:after="40" w:before="40"/>
            </w:pPr>
            <w:r/>
            <w:r>
              <w:rPr>
                <w:sz w:val="18"/>
              </w:rPr>
              <w:t>Eastern Cape</w:t>
            </w:r>
          </w:p>
        </w:tc>
        <w:tc>
          <w:tcPr>
            <w:tcW w:type="dxa" w:w="1134"/>
            <w:shd w:val="clear" w:fill="F2F6FB"/>
          </w:tcPr>
          <w:p>
            <w:pPr>
              <w:spacing w:after="40" w:before="40"/>
              <w:jc w:val="right"/>
            </w:pPr>
            <w:r/>
            <w:r>
              <w:rPr>
                <w:sz w:val="18"/>
              </w:rPr>
              <w:t>24/100</w:t>
            </w:r>
          </w:p>
        </w:tc>
        <w:tc>
          <w:tcPr>
            <w:tcW w:type="dxa" w:w="1474"/>
            <w:shd w:val="clear" w:fill="F2F6FB"/>
          </w:tcPr>
          <w:p>
            <w:pPr>
              <w:spacing w:after="40" w:before="40"/>
              <w:jc w:val="right"/>
            </w:pPr>
            <w:r/>
            <w:r>
              <w:rPr>
                <w:sz w:val="18"/>
              </w:rPr>
              <w:t>R473,867</w:t>
            </w:r>
          </w:p>
        </w:tc>
        <w:tc>
          <w:tcPr>
            <w:tcW w:type="dxa" w:w="1361"/>
            <w:shd w:val="clear" w:fill="F2F6FB"/>
          </w:tcPr>
          <w:p>
            <w:pPr>
              <w:spacing w:after="40" w:before="40"/>
              <w:jc w:val="right"/>
            </w:pPr>
            <w:r/>
            <w:r>
              <w:rPr>
                <w:sz w:val="18"/>
              </w:rPr>
              <w:t>-5.9%</w:t>
            </w:r>
          </w:p>
        </w:tc>
        <w:tc>
          <w:tcPr>
            <w:tcW w:type="dxa" w:w="1701"/>
            <w:shd w:val="clear" w:fill="F2F6FB"/>
          </w:tcPr>
          <w:p>
            <w:pPr>
              <w:spacing w:after="40" w:before="40"/>
              <w:jc w:val="right"/>
            </w:pPr>
            <w:r/>
            <w:r>
              <w:rPr>
                <w:sz w:val="18"/>
              </w:rPr>
              <w:t>R354,163</w:t>
            </w:r>
          </w:p>
        </w:tc>
      </w:tr>
      <w:tr>
        <w:tc>
          <w:tcPr>
            <w:tcW w:type="dxa" w:w="567"/>
          </w:tcPr>
          <w:p>
            <w:pPr>
              <w:spacing w:after="40" w:before="40"/>
              <w:jc w:val="right"/>
            </w:pPr>
            <w:r/>
            <w:r>
              <w:rPr>
                <w:sz w:val="18"/>
              </w:rPr>
              <w:t>3</w:t>
            </w:r>
          </w:p>
        </w:tc>
        <w:tc>
          <w:tcPr>
            <w:tcW w:type="dxa" w:w="2608"/>
          </w:tcPr>
          <w:p>
            <w:pPr>
              <w:spacing w:after="40" w:before="40"/>
            </w:pPr>
            <w:r/>
            <w:r>
              <w:rPr>
                <w:sz w:val="18"/>
              </w:rPr>
              <w:t>Mzansi Mini Market</w:t>
            </w:r>
          </w:p>
        </w:tc>
        <w:tc>
          <w:tcPr>
            <w:tcW w:type="dxa" w:w="1701"/>
          </w:tcPr>
          <w:p>
            <w:pPr>
              <w:spacing w:after="40" w:before="40"/>
            </w:pPr>
            <w:r/>
            <w:r>
              <w:rPr>
                <w:sz w:val="18"/>
              </w:rPr>
              <w:t>Eastern Cape</w:t>
            </w:r>
          </w:p>
        </w:tc>
        <w:tc>
          <w:tcPr>
            <w:tcW w:type="dxa" w:w="1134"/>
          </w:tcPr>
          <w:p>
            <w:pPr>
              <w:spacing w:after="40" w:before="40"/>
              <w:jc w:val="right"/>
            </w:pPr>
            <w:r/>
            <w:r>
              <w:rPr>
                <w:sz w:val="18"/>
              </w:rPr>
              <w:t>40/100</w:t>
            </w:r>
          </w:p>
        </w:tc>
        <w:tc>
          <w:tcPr>
            <w:tcW w:type="dxa" w:w="1474"/>
          </w:tcPr>
          <w:p>
            <w:pPr>
              <w:spacing w:after="40" w:before="40"/>
              <w:jc w:val="right"/>
            </w:pPr>
            <w:r/>
            <w:r>
              <w:rPr>
                <w:sz w:val="18"/>
              </w:rPr>
              <w:t>R381,800</w:t>
            </w:r>
          </w:p>
        </w:tc>
        <w:tc>
          <w:tcPr>
            <w:tcW w:type="dxa" w:w="1361"/>
          </w:tcPr>
          <w:p>
            <w:pPr>
              <w:spacing w:after="40" w:before="40"/>
              <w:jc w:val="right"/>
            </w:pPr>
            <w:r/>
            <w:r>
              <w:rPr>
                <w:sz w:val="18"/>
              </w:rPr>
              <w:t>-1.9%</w:t>
            </w:r>
          </w:p>
        </w:tc>
        <w:tc>
          <w:tcPr>
            <w:tcW w:type="dxa" w:w="1701"/>
          </w:tcPr>
          <w:p>
            <w:pPr>
              <w:spacing w:after="40" w:before="40"/>
              <w:jc w:val="right"/>
            </w:pPr>
            <w:r/>
            <w:r>
              <w:rPr>
                <w:sz w:val="18"/>
              </w:rPr>
              <w:t>R87,169</w:t>
            </w:r>
          </w:p>
        </w:tc>
      </w:tr>
      <w:tr>
        <w:tc>
          <w:tcPr>
            <w:tcW w:type="dxa" w:w="567"/>
            <w:shd w:val="clear" w:fill="F2F6FB"/>
          </w:tcPr>
          <w:p>
            <w:pPr>
              <w:spacing w:after="40" w:before="40"/>
              <w:jc w:val="right"/>
            </w:pPr>
            <w:r/>
            <w:r>
              <w:rPr>
                <w:sz w:val="18"/>
              </w:rPr>
              <w:t>4</w:t>
            </w:r>
          </w:p>
        </w:tc>
        <w:tc>
          <w:tcPr>
            <w:tcW w:type="dxa" w:w="2608"/>
            <w:shd w:val="clear" w:fill="F2F6FB"/>
          </w:tcPr>
          <w:p>
            <w:pPr>
              <w:spacing w:after="40" w:before="40"/>
            </w:pPr>
            <w:r/>
            <w:r>
              <w:rPr>
                <w:sz w:val="18"/>
              </w:rPr>
              <w:t>Pretoria PayPoint</w:t>
            </w:r>
          </w:p>
        </w:tc>
        <w:tc>
          <w:tcPr>
            <w:tcW w:type="dxa" w:w="1701"/>
            <w:shd w:val="clear" w:fill="F2F6FB"/>
          </w:tcPr>
          <w:p>
            <w:pPr>
              <w:spacing w:after="40" w:before="40"/>
            </w:pPr>
            <w:r/>
            <w:r>
              <w:rPr>
                <w:sz w:val="18"/>
              </w:rPr>
              <w:t>Eastern Cape</w:t>
            </w:r>
          </w:p>
        </w:tc>
        <w:tc>
          <w:tcPr>
            <w:tcW w:type="dxa" w:w="1134"/>
            <w:shd w:val="clear" w:fill="F2F6FB"/>
          </w:tcPr>
          <w:p>
            <w:pPr>
              <w:spacing w:after="40" w:before="40"/>
              <w:jc w:val="right"/>
            </w:pPr>
            <w:r/>
            <w:r>
              <w:rPr>
                <w:sz w:val="18"/>
              </w:rPr>
              <w:t>31/100</w:t>
            </w:r>
          </w:p>
        </w:tc>
        <w:tc>
          <w:tcPr>
            <w:tcW w:type="dxa" w:w="1474"/>
            <w:shd w:val="clear" w:fill="F2F6FB"/>
          </w:tcPr>
          <w:p>
            <w:pPr>
              <w:spacing w:after="40" w:before="40"/>
              <w:jc w:val="right"/>
            </w:pPr>
            <w:r/>
            <w:r>
              <w:rPr>
                <w:sz w:val="18"/>
              </w:rPr>
              <w:t>R296,383</w:t>
            </w:r>
          </w:p>
        </w:tc>
        <w:tc>
          <w:tcPr>
            <w:tcW w:type="dxa" w:w="1361"/>
            <w:shd w:val="clear" w:fill="F2F6FB"/>
          </w:tcPr>
          <w:p>
            <w:pPr>
              <w:spacing w:after="40" w:before="40"/>
              <w:jc w:val="right"/>
            </w:pPr>
            <w:r/>
            <w:r>
              <w:rPr>
                <w:sz w:val="18"/>
              </w:rPr>
              <w:t>-4.2%</w:t>
            </w:r>
          </w:p>
        </w:tc>
        <w:tc>
          <w:tcPr>
            <w:tcW w:type="dxa" w:w="1701"/>
            <w:shd w:val="clear" w:fill="F2F6FB"/>
          </w:tcPr>
          <w:p>
            <w:pPr>
              <w:spacing w:after="40" w:before="40"/>
              <w:jc w:val="right"/>
            </w:pPr>
            <w:r/>
            <w:r>
              <w:rPr>
                <w:sz w:val="18"/>
              </w:rPr>
              <w:t>R154,045</w:t>
            </w:r>
          </w:p>
        </w:tc>
      </w:tr>
      <w:tr>
        <w:tc>
          <w:tcPr>
            <w:tcW w:type="dxa" w:w="567"/>
          </w:tcPr>
          <w:p>
            <w:pPr>
              <w:spacing w:after="40" w:before="40"/>
              <w:jc w:val="right"/>
            </w:pPr>
            <w:r/>
            <w:r>
              <w:rPr>
                <w:sz w:val="18"/>
              </w:rPr>
              <w:t>5</w:t>
            </w:r>
          </w:p>
        </w:tc>
        <w:tc>
          <w:tcPr>
            <w:tcW w:type="dxa" w:w="2608"/>
          </w:tcPr>
          <w:p>
            <w:pPr>
              <w:spacing w:after="40" w:before="40"/>
            </w:pPr>
            <w:r/>
            <w:r>
              <w:rPr>
                <w:sz w:val="18"/>
              </w:rPr>
              <w:t>Cape Point Cellular</w:t>
            </w:r>
          </w:p>
        </w:tc>
        <w:tc>
          <w:tcPr>
            <w:tcW w:type="dxa" w:w="1701"/>
          </w:tcPr>
          <w:p>
            <w:pPr>
              <w:spacing w:after="40" w:before="40"/>
            </w:pPr>
            <w:r/>
            <w:r>
              <w:rPr>
                <w:sz w:val="18"/>
              </w:rPr>
              <w:t>Eastern Cape</w:t>
            </w:r>
          </w:p>
        </w:tc>
        <w:tc>
          <w:tcPr>
            <w:tcW w:type="dxa" w:w="1134"/>
          </w:tcPr>
          <w:p>
            <w:pPr>
              <w:spacing w:after="40" w:before="40"/>
              <w:jc w:val="right"/>
            </w:pPr>
            <w:r/>
            <w:r>
              <w:rPr>
                <w:sz w:val="18"/>
              </w:rPr>
              <w:t>45/100</w:t>
            </w:r>
          </w:p>
        </w:tc>
        <w:tc>
          <w:tcPr>
            <w:tcW w:type="dxa" w:w="1474"/>
          </w:tcPr>
          <w:p>
            <w:pPr>
              <w:spacing w:after="40" w:before="40"/>
              <w:jc w:val="right"/>
            </w:pPr>
            <w:r/>
            <w:r>
              <w:rPr>
                <w:sz w:val="18"/>
              </w:rPr>
              <w:t>R112,219</w:t>
            </w:r>
          </w:p>
        </w:tc>
        <w:tc>
          <w:tcPr>
            <w:tcW w:type="dxa" w:w="1361"/>
          </w:tcPr>
          <w:p>
            <w:pPr>
              <w:spacing w:after="40" w:before="40"/>
              <w:jc w:val="right"/>
            </w:pPr>
            <w:r/>
            <w:r>
              <w:rPr>
                <w:sz w:val="18"/>
              </w:rPr>
              <w:t>-3.5%</w:t>
            </w:r>
          </w:p>
        </w:tc>
        <w:tc>
          <w:tcPr>
            <w:tcW w:type="dxa" w:w="1701"/>
          </w:tcPr>
          <w:p>
            <w:pPr>
              <w:spacing w:after="40" w:before="40"/>
              <w:jc w:val="right"/>
            </w:pPr>
            <w:r/>
            <w:r>
              <w:rPr>
                <w:sz w:val="18"/>
              </w:rPr>
              <w:t>R48,626</w:t>
            </w:r>
          </w:p>
        </w:tc>
      </w:tr>
    </w:tbl>
    <w:p>
      <w:pPr>
        <w:spacing w:after="80"/>
      </w:pPr>
    </w:p>
    <w:p>
      <w:pPr>
        <w:spacing w:after="140"/>
      </w:pPr>
      <w:r>
        <w:rPr>
          <w:b/>
          <w:color w:val="0E8B8B"/>
          <w:sz w:val="21"/>
        </w:rPr>
        <w:t xml:space="preserve">Why revenue at risk rather than percentage decline. </w:t>
      </w:r>
      <w:r>
        <w:rPr>
          <w:b w:val="0"/>
          <w:sz w:val="21"/>
        </w:rPr>
        <w:t>Umhlanga's 42.5% collapse and Table Bay Express's 5.9% slide are not comparable on their face — but Table Bay is a R3.3m merchant, so its smaller percentage still puts R354,163 a year at stake against Umhlanga's R571,518. Ranking on percentage change alone sends the account team to the wrong door.</w:t>
      </w:r>
    </w:p>
    <w:p>
      <w:r>
        <w:br w:type="page"/>
      </w:r>
    </w:p>
    <w:p>
      <w:pPr>
        <w:pStyle w:val="Heading1"/>
      </w:pPr>
      <w:r>
        <w:t>8. Reconciliation and financial controls</w:t>
      </w:r>
    </w:p>
    <w:p>
      <w:pPr>
        <w:spacing w:after="140" w:before="0"/>
      </w:pPr>
      <w:r>
        <w:rPr>
          <w:b w:val="0"/>
          <w:i w:val="0"/>
          <w:sz w:val="21"/>
        </w:rPr>
        <w:t>Controls that PASS matter as much as controls that fail: a control nobody can see is a control nobody trusts. mart_reconciliation materialises each check with its expected value, actual value, variance and a derived status, so the control set is data in the report rather than a claim in a document.</w:t>
      </w:r>
    </w:p>
    <w:tbl>
      <w:tblPr>
        <w:tblStyle w:val="TableGrid"/>
        <w:tblW w:type="auto" w:w="0"/>
        <w:jc w:val="center"/>
        <w:tblLook w:firstColumn="1" w:firstRow="1" w:lastColumn="0" w:lastRow="0" w:noHBand="0" w:noVBand="1" w:val="04A0"/>
      </w:tblPr>
      <w:tblGrid>
        <w:gridCol w:w="1587"/>
        <w:gridCol w:w="1587"/>
        <w:gridCol w:w="1587"/>
        <w:gridCol w:w="1587"/>
        <w:gridCol w:w="1587"/>
        <w:gridCol w:w="1587"/>
      </w:tblGrid>
      <w:tr>
        <w:tc>
          <w:tcPr>
            <w:tcW w:type="dxa" w:w="1587"/>
            <w:shd w:val="clear" w:fill="12305B"/>
          </w:tcPr>
          <w:p>
            <w:pPr>
              <w:spacing w:after="40" w:before="40"/>
            </w:pPr>
            <w:r/>
            <w:r>
              <w:rPr>
                <w:b/>
                <w:color w:val="FFFFFF"/>
                <w:sz w:val="17"/>
              </w:rPr>
              <w:t>Control family</w:t>
            </w:r>
          </w:p>
        </w:tc>
        <w:tc>
          <w:tcPr>
            <w:tcW w:type="dxa" w:w="3175"/>
            <w:shd w:val="clear" w:fill="12305B"/>
          </w:tcPr>
          <w:p>
            <w:pPr>
              <w:spacing w:after="40" w:before="40"/>
            </w:pPr>
            <w:r/>
            <w:r>
              <w:rPr>
                <w:b/>
                <w:color w:val="FFFFFF"/>
                <w:sz w:val="17"/>
              </w:rPr>
              <w:t>Check</w:t>
            </w:r>
          </w:p>
        </w:tc>
        <w:tc>
          <w:tcPr>
            <w:tcW w:type="dxa" w:w="1361"/>
            <w:shd w:val="clear" w:fill="12305B"/>
          </w:tcPr>
          <w:p>
            <w:pPr>
              <w:spacing w:after="40" w:before="40"/>
              <w:jc w:val="right"/>
            </w:pPr>
            <w:r/>
            <w:r>
              <w:rPr>
                <w:b/>
                <w:color w:val="FFFFFF"/>
                <w:sz w:val="17"/>
              </w:rPr>
              <w:t>Expected</w:t>
            </w:r>
          </w:p>
        </w:tc>
        <w:tc>
          <w:tcPr>
            <w:tcW w:type="dxa" w:w="1361"/>
            <w:shd w:val="clear" w:fill="12305B"/>
          </w:tcPr>
          <w:p>
            <w:pPr>
              <w:spacing w:after="40" w:before="40"/>
              <w:jc w:val="right"/>
            </w:pPr>
            <w:r/>
            <w:r>
              <w:rPr>
                <w:b/>
                <w:color w:val="FFFFFF"/>
                <w:sz w:val="17"/>
              </w:rPr>
              <w:t>Actual</w:t>
            </w:r>
          </w:p>
        </w:tc>
        <w:tc>
          <w:tcPr>
            <w:tcW w:type="dxa" w:w="1134"/>
            <w:shd w:val="clear" w:fill="12305B"/>
          </w:tcPr>
          <w:p>
            <w:pPr>
              <w:spacing w:after="40" w:before="40"/>
              <w:jc w:val="right"/>
            </w:pPr>
            <w:r/>
            <w:r>
              <w:rPr>
                <w:b/>
                <w:color w:val="FFFFFF"/>
                <w:sz w:val="17"/>
              </w:rPr>
              <w:t>Variance</w:t>
            </w:r>
          </w:p>
        </w:tc>
        <w:tc>
          <w:tcPr>
            <w:tcW w:type="dxa" w:w="907"/>
            <w:shd w:val="clear" w:fill="12305B"/>
          </w:tcPr>
          <w:p>
            <w:pPr>
              <w:spacing w:after="40" w:before="40"/>
            </w:pPr>
            <w:r/>
            <w:r>
              <w:rPr>
                <w:b/>
                <w:color w:val="FFFFFF"/>
                <w:sz w:val="17"/>
              </w:rPr>
              <w:t>Status</w:t>
            </w:r>
          </w:p>
        </w:tc>
      </w:tr>
      <w:tr>
        <w:tc>
          <w:tcPr>
            <w:tcW w:type="dxa" w:w="1587"/>
          </w:tcPr>
          <w:p>
            <w:pPr>
              <w:spacing w:after="40" w:before="40"/>
            </w:pPr>
            <w:r/>
            <w:r>
              <w:rPr>
                <w:sz w:val="17"/>
              </w:rPr>
              <w:t>Source control</w:t>
            </w:r>
          </w:p>
        </w:tc>
        <w:tc>
          <w:tcPr>
            <w:tcW w:type="dxa" w:w="3175"/>
          </w:tcPr>
          <w:p>
            <w:pPr>
              <w:spacing w:after="40" w:before="40"/>
            </w:pPr>
            <w:r/>
            <w:r>
              <w:rPr>
                <w:sz w:val="17"/>
              </w:rPr>
              <w:t>Sales value survives bronze to gold</w:t>
            </w:r>
          </w:p>
        </w:tc>
        <w:tc>
          <w:tcPr>
            <w:tcW w:type="dxa" w:w="1361"/>
          </w:tcPr>
          <w:p>
            <w:pPr>
              <w:spacing w:after="40" w:before="40"/>
              <w:jc w:val="right"/>
            </w:pPr>
            <w:r/>
            <w:r>
              <w:rPr>
                <w:sz w:val="17"/>
              </w:rPr>
              <w:t>65,521,298.75</w:t>
            </w:r>
          </w:p>
        </w:tc>
        <w:tc>
          <w:tcPr>
            <w:tcW w:type="dxa" w:w="1361"/>
          </w:tcPr>
          <w:p>
            <w:pPr>
              <w:spacing w:after="40" w:before="40"/>
              <w:jc w:val="right"/>
            </w:pPr>
            <w:r/>
            <w:r>
              <w:rPr>
                <w:sz w:val="17"/>
              </w:rPr>
              <w:t>65,521,298.75</w:t>
            </w:r>
          </w:p>
        </w:tc>
        <w:tc>
          <w:tcPr>
            <w:tcW w:type="dxa" w:w="1134"/>
          </w:tcPr>
          <w:p>
            <w:pPr>
              <w:spacing w:after="40" w:before="40"/>
              <w:jc w:val="right"/>
            </w:pPr>
            <w:r/>
            <w:r>
              <w:rPr>
                <w:sz w:val="17"/>
              </w:rPr>
              <w:t>0.00</w:t>
            </w:r>
          </w:p>
        </w:tc>
        <w:tc>
          <w:tcPr>
            <w:tcW w:type="dxa" w:w="907"/>
          </w:tcPr>
          <w:p>
            <w:pPr>
              <w:spacing w:after="40" w:before="40"/>
            </w:pPr>
            <w:r/>
            <w:r>
              <w:rPr>
                <w:sz w:val="17"/>
              </w:rPr>
              <w:t>PASS</w:t>
            </w:r>
          </w:p>
        </w:tc>
      </w:tr>
      <w:tr>
        <w:tc>
          <w:tcPr>
            <w:tcW w:type="dxa" w:w="1587"/>
            <w:shd w:val="clear" w:fill="F2F6FB"/>
          </w:tcPr>
          <w:p>
            <w:pPr>
              <w:spacing w:after="40" w:before="40"/>
            </w:pPr>
            <w:r/>
            <w:r>
              <w:rPr>
                <w:sz w:val="17"/>
              </w:rPr>
              <w:t>Source control</w:t>
            </w:r>
          </w:p>
        </w:tc>
        <w:tc>
          <w:tcPr>
            <w:tcW w:type="dxa" w:w="3175"/>
            <w:shd w:val="clear" w:fill="F2F6FB"/>
          </w:tcPr>
          <w:p>
            <w:pPr>
              <w:spacing w:after="40" w:before="40"/>
            </w:pPr>
            <w:r/>
            <w:r>
              <w:rPr>
                <w:sz w:val="17"/>
              </w:rPr>
              <w:t>Voucher row count survives bronze to gold</w:t>
            </w:r>
          </w:p>
        </w:tc>
        <w:tc>
          <w:tcPr>
            <w:tcW w:type="dxa" w:w="1361"/>
            <w:shd w:val="clear" w:fill="F2F6FB"/>
          </w:tcPr>
          <w:p>
            <w:pPr>
              <w:spacing w:after="40" w:before="40"/>
              <w:jc w:val="right"/>
            </w:pPr>
            <w:r/>
            <w:r>
              <w:rPr>
                <w:sz w:val="17"/>
              </w:rPr>
              <w:t>120,969.00</w:t>
            </w:r>
          </w:p>
        </w:tc>
        <w:tc>
          <w:tcPr>
            <w:tcW w:type="dxa" w:w="1361"/>
            <w:shd w:val="clear" w:fill="F2F6FB"/>
          </w:tcPr>
          <w:p>
            <w:pPr>
              <w:spacing w:after="40" w:before="40"/>
              <w:jc w:val="right"/>
            </w:pPr>
            <w:r/>
            <w:r>
              <w:rPr>
                <w:sz w:val="17"/>
              </w:rPr>
              <w:t>120,969.00</w:t>
            </w:r>
          </w:p>
        </w:tc>
        <w:tc>
          <w:tcPr>
            <w:tcW w:type="dxa" w:w="1134"/>
            <w:shd w:val="clear" w:fill="F2F6FB"/>
          </w:tcPr>
          <w:p>
            <w:pPr>
              <w:spacing w:after="40" w:before="40"/>
              <w:jc w:val="right"/>
            </w:pPr>
            <w:r/>
            <w:r>
              <w:rPr>
                <w:sz w:val="17"/>
              </w:rPr>
              <w:t>0.00</w:t>
            </w:r>
          </w:p>
        </w:tc>
        <w:tc>
          <w:tcPr>
            <w:tcW w:type="dxa" w:w="907"/>
            <w:shd w:val="clear" w:fill="F2F6FB"/>
          </w:tcPr>
          <w:p>
            <w:pPr>
              <w:spacing w:after="40" w:before="40"/>
            </w:pPr>
            <w:r/>
            <w:r>
              <w:rPr>
                <w:sz w:val="17"/>
              </w:rPr>
              <w:t>PASS</w:t>
            </w:r>
          </w:p>
        </w:tc>
      </w:tr>
      <w:tr>
        <w:tc>
          <w:tcPr>
            <w:tcW w:type="dxa" w:w="1587"/>
          </w:tcPr>
          <w:p>
            <w:pPr>
              <w:spacing w:after="40" w:before="40"/>
            </w:pPr>
            <w:r/>
            <w:r>
              <w:rPr>
                <w:sz w:val="17"/>
              </w:rPr>
              <w:t>Source control</w:t>
            </w:r>
          </w:p>
        </w:tc>
        <w:tc>
          <w:tcPr>
            <w:tcW w:type="dxa" w:w="3175"/>
          </w:tcPr>
          <w:p>
            <w:pPr>
              <w:spacing w:after="40" w:before="40"/>
            </w:pPr>
            <w:r/>
            <w:r>
              <w:rPr>
                <w:sz w:val="17"/>
              </w:rPr>
              <w:t>Ticket row count survives bronze to gold</w:t>
            </w:r>
          </w:p>
        </w:tc>
        <w:tc>
          <w:tcPr>
            <w:tcW w:type="dxa" w:w="1361"/>
          </w:tcPr>
          <w:p>
            <w:pPr>
              <w:spacing w:after="40" w:before="40"/>
              <w:jc w:val="right"/>
            </w:pPr>
            <w:r/>
            <w:r>
              <w:rPr>
                <w:sz w:val="17"/>
              </w:rPr>
              <w:t>1,363.00</w:t>
            </w:r>
          </w:p>
        </w:tc>
        <w:tc>
          <w:tcPr>
            <w:tcW w:type="dxa" w:w="1361"/>
          </w:tcPr>
          <w:p>
            <w:pPr>
              <w:spacing w:after="40" w:before="40"/>
              <w:jc w:val="right"/>
            </w:pPr>
            <w:r/>
            <w:r>
              <w:rPr>
                <w:sz w:val="17"/>
              </w:rPr>
              <w:t>1,363.00</w:t>
            </w:r>
          </w:p>
        </w:tc>
        <w:tc>
          <w:tcPr>
            <w:tcW w:type="dxa" w:w="1134"/>
          </w:tcPr>
          <w:p>
            <w:pPr>
              <w:spacing w:after="40" w:before="40"/>
              <w:jc w:val="right"/>
            </w:pPr>
            <w:r/>
            <w:r>
              <w:rPr>
                <w:sz w:val="17"/>
              </w:rPr>
              <w:t>0.00</w:t>
            </w:r>
          </w:p>
        </w:tc>
        <w:tc>
          <w:tcPr>
            <w:tcW w:type="dxa" w:w="907"/>
          </w:tcPr>
          <w:p>
            <w:pPr>
              <w:spacing w:after="40" w:before="40"/>
            </w:pPr>
            <w:r/>
            <w:r>
              <w:rPr>
                <w:sz w:val="17"/>
              </w:rPr>
              <w:t>PASS</w:t>
            </w:r>
          </w:p>
        </w:tc>
      </w:tr>
      <w:tr>
        <w:tc>
          <w:tcPr>
            <w:tcW w:type="dxa" w:w="1587"/>
            <w:shd w:val="clear" w:fill="F2F6FB"/>
          </w:tcPr>
          <w:p>
            <w:pPr>
              <w:spacing w:after="40" w:before="40"/>
            </w:pPr>
            <w:r/>
            <w:r>
              <w:rPr>
                <w:sz w:val="17"/>
              </w:rPr>
              <w:t>Voucher control</w:t>
            </w:r>
          </w:p>
        </w:tc>
        <w:tc>
          <w:tcPr>
            <w:tcW w:type="dxa" w:w="3175"/>
            <w:shd w:val="clear" w:fill="F2F6FB"/>
          </w:tcPr>
          <w:p>
            <w:pPr>
              <w:spacing w:after="40" w:before="40"/>
            </w:pPr>
            <w:r/>
            <w:r>
              <w:rPr>
                <w:sz w:val="17"/>
              </w:rPr>
              <w:t>Redeemed + outstanding = value sold</w:t>
            </w:r>
          </w:p>
        </w:tc>
        <w:tc>
          <w:tcPr>
            <w:tcW w:type="dxa" w:w="1361"/>
            <w:shd w:val="clear" w:fill="F2F6FB"/>
          </w:tcPr>
          <w:p>
            <w:pPr>
              <w:spacing w:after="40" w:before="40"/>
              <w:jc w:val="right"/>
            </w:pPr>
            <w:r/>
            <w:r>
              <w:rPr>
                <w:sz w:val="17"/>
              </w:rPr>
              <w:t>22,019,852.75</w:t>
            </w:r>
          </w:p>
        </w:tc>
        <w:tc>
          <w:tcPr>
            <w:tcW w:type="dxa" w:w="1361"/>
            <w:shd w:val="clear" w:fill="F2F6FB"/>
          </w:tcPr>
          <w:p>
            <w:pPr>
              <w:spacing w:after="40" w:before="40"/>
              <w:jc w:val="right"/>
            </w:pPr>
            <w:r/>
            <w:r>
              <w:rPr>
                <w:sz w:val="17"/>
              </w:rPr>
              <w:t>22,019,852.75</w:t>
            </w:r>
          </w:p>
        </w:tc>
        <w:tc>
          <w:tcPr>
            <w:tcW w:type="dxa" w:w="1134"/>
            <w:shd w:val="clear" w:fill="F2F6FB"/>
          </w:tcPr>
          <w:p>
            <w:pPr>
              <w:spacing w:after="40" w:before="40"/>
              <w:jc w:val="right"/>
            </w:pPr>
            <w:r/>
            <w:r>
              <w:rPr>
                <w:sz w:val="17"/>
              </w:rPr>
              <w:t>0.00</w:t>
            </w:r>
          </w:p>
        </w:tc>
        <w:tc>
          <w:tcPr>
            <w:tcW w:type="dxa" w:w="907"/>
            <w:shd w:val="clear" w:fill="F2F6FB"/>
          </w:tcPr>
          <w:p>
            <w:pPr>
              <w:spacing w:after="40" w:before="40"/>
            </w:pPr>
            <w:r/>
            <w:r>
              <w:rPr>
                <w:sz w:val="17"/>
              </w:rPr>
              <w:t>PASS</w:t>
            </w:r>
          </w:p>
        </w:tc>
      </w:tr>
      <w:tr>
        <w:tc>
          <w:tcPr>
            <w:tcW w:type="dxa" w:w="1587"/>
          </w:tcPr>
          <w:p>
            <w:pPr>
              <w:spacing w:after="40" w:before="40"/>
            </w:pPr>
            <w:r/>
            <w:r>
              <w:rPr>
                <w:sz w:val="17"/>
              </w:rPr>
              <w:t>Mart control</w:t>
            </w:r>
          </w:p>
        </w:tc>
        <w:tc>
          <w:tcPr>
            <w:tcW w:type="dxa" w:w="3175"/>
          </w:tcPr>
          <w:p>
            <w:pPr>
              <w:spacing w:after="40" w:before="40"/>
            </w:pPr>
            <w:r/>
            <w:r>
              <w:rPr>
                <w:sz w:val="17"/>
              </w:rPr>
              <w:t>Scorecard total ties to the sales fact</w:t>
            </w:r>
          </w:p>
        </w:tc>
        <w:tc>
          <w:tcPr>
            <w:tcW w:type="dxa" w:w="1361"/>
          </w:tcPr>
          <w:p>
            <w:pPr>
              <w:spacing w:after="40" w:before="40"/>
              <w:jc w:val="right"/>
            </w:pPr>
            <w:r/>
            <w:r>
              <w:rPr>
                <w:sz w:val="17"/>
              </w:rPr>
              <w:t>65,521,298.75</w:t>
            </w:r>
          </w:p>
        </w:tc>
        <w:tc>
          <w:tcPr>
            <w:tcW w:type="dxa" w:w="1361"/>
          </w:tcPr>
          <w:p>
            <w:pPr>
              <w:spacing w:after="40" w:before="40"/>
              <w:jc w:val="right"/>
            </w:pPr>
            <w:r/>
            <w:r>
              <w:rPr>
                <w:sz w:val="17"/>
              </w:rPr>
              <w:t>65,521,298.75</w:t>
            </w:r>
          </w:p>
        </w:tc>
        <w:tc>
          <w:tcPr>
            <w:tcW w:type="dxa" w:w="1134"/>
          </w:tcPr>
          <w:p>
            <w:pPr>
              <w:spacing w:after="40" w:before="40"/>
              <w:jc w:val="right"/>
            </w:pPr>
            <w:r/>
            <w:r>
              <w:rPr>
                <w:sz w:val="17"/>
              </w:rPr>
              <w:t>0.00</w:t>
            </w:r>
          </w:p>
        </w:tc>
        <w:tc>
          <w:tcPr>
            <w:tcW w:type="dxa" w:w="907"/>
          </w:tcPr>
          <w:p>
            <w:pPr>
              <w:spacing w:after="40" w:before="40"/>
            </w:pPr>
            <w:r/>
            <w:r>
              <w:rPr>
                <w:sz w:val="17"/>
              </w:rPr>
              <w:t>PASS</w:t>
            </w:r>
          </w:p>
        </w:tc>
      </w:tr>
      <w:tr>
        <w:tc>
          <w:tcPr>
            <w:tcW w:type="dxa" w:w="1587"/>
            <w:shd w:val="clear" w:fill="F2F6FB"/>
          </w:tcPr>
          <w:p>
            <w:pPr>
              <w:spacing w:after="40" w:before="40"/>
            </w:pPr>
            <w:r/>
            <w:r>
              <w:rPr>
                <w:sz w:val="17"/>
              </w:rPr>
              <w:t>Population control</w:t>
            </w:r>
          </w:p>
        </w:tc>
        <w:tc>
          <w:tcPr>
            <w:tcW w:type="dxa" w:w="3175"/>
            <w:shd w:val="clear" w:fill="F2F6FB"/>
          </w:tcPr>
          <w:p>
            <w:pPr>
              <w:spacing w:after="40" w:before="40"/>
            </w:pPr>
            <w:r/>
            <w:r>
              <w:rPr>
                <w:sz w:val="17"/>
              </w:rPr>
              <w:t>Sales fact and voucher fact are DIFFERENT populations (expected variance)</w:t>
            </w:r>
          </w:p>
        </w:tc>
        <w:tc>
          <w:tcPr>
            <w:tcW w:type="dxa" w:w="1361"/>
            <w:shd w:val="clear" w:fill="F2F6FB"/>
          </w:tcPr>
          <w:p>
            <w:pPr>
              <w:spacing w:after="40" w:before="40"/>
              <w:jc w:val="right"/>
            </w:pPr>
            <w:r/>
            <w:r>
              <w:rPr>
                <w:sz w:val="17"/>
              </w:rPr>
              <w:t>65,521,298.75</w:t>
            </w:r>
          </w:p>
        </w:tc>
        <w:tc>
          <w:tcPr>
            <w:tcW w:type="dxa" w:w="1361"/>
            <w:shd w:val="clear" w:fill="F2F6FB"/>
          </w:tcPr>
          <w:p>
            <w:pPr>
              <w:spacing w:after="40" w:before="40"/>
              <w:jc w:val="right"/>
            </w:pPr>
            <w:r/>
            <w:r>
              <w:rPr>
                <w:sz w:val="17"/>
              </w:rPr>
              <w:t>22,019,852.75</w:t>
            </w:r>
          </w:p>
        </w:tc>
        <w:tc>
          <w:tcPr>
            <w:tcW w:type="dxa" w:w="1134"/>
            <w:shd w:val="clear" w:fill="F2F6FB"/>
          </w:tcPr>
          <w:p>
            <w:pPr>
              <w:spacing w:after="40" w:before="40"/>
              <w:jc w:val="right"/>
            </w:pPr>
            <w:r/>
            <w:r>
              <w:rPr>
                <w:sz w:val="17"/>
              </w:rPr>
              <w:t>43,501,446.00</w:t>
            </w:r>
          </w:p>
        </w:tc>
        <w:tc>
          <w:tcPr>
            <w:tcW w:type="dxa" w:w="907"/>
            <w:shd w:val="clear" w:fill="F2F6FB"/>
          </w:tcPr>
          <w:p>
            <w:pPr>
              <w:spacing w:after="40" w:before="40"/>
            </w:pPr>
            <w:r/>
            <w:r>
              <w:rPr>
                <w:sz w:val="17"/>
              </w:rPr>
              <w:t>EXPECTED</w:t>
            </w:r>
          </w:p>
        </w:tc>
      </w:tr>
    </w:tbl>
    <w:p>
      <w:pPr>
        <w:spacing w:after="80"/>
      </w:pPr>
    </w:p>
    <w:p>
      <w:pPr>
        <w:spacing w:after="140"/>
      </w:pPr>
      <w:r>
        <w:rPr>
          <w:b/>
          <w:color w:val="12305B"/>
          <w:sz w:val="21"/>
        </w:rPr>
        <w:t xml:space="preserve">The population control is the one that matters. </w:t>
      </w:r>
      <w:r>
        <w:rPr>
          <w:b w:val="0"/>
          <w:sz w:val="21"/>
        </w:rPr>
        <w:t xml:space="preserve">fct_merchant_sales totals R65,521,299 across 510,127 transactions; fct_voucher_redemptions totals R22,019,853 across 120,969 vouchers — a variance of </w:t>
      </w:r>
      <w:r>
        <w:rPr>
          <w:b/>
          <w:color w:val="C0392B"/>
          <w:sz w:val="21"/>
        </w:rPr>
        <w:t>R43,501,446</w:t>
      </w:r>
      <w:r>
        <w:rPr>
          <w:b w:val="0"/>
          <w:sz w:val="21"/>
        </w:rPr>
        <w:t>. That is EXPECTED, not a break. MerchantSales is a daily aggregate of ALL transactions; VoucherRedemptions is a voucher-level extract covering roughly 1 in 4.2 of them. They describe different populations and must never be forced to tie.</w:t>
      </w:r>
    </w:p>
    <w:tbl>
      <w:tblPr>
        <w:tblStyle w:val="TableGrid"/>
        <w:tblW w:type="auto" w:w="0"/>
        <w:tblLook w:firstColumn="1" w:firstRow="1" w:lastColumn="0" w:lastRow="0" w:noHBand="0" w:noVBand="1" w:val="04A0"/>
      </w:tblPr>
      <w:tblGrid>
        <w:gridCol w:w="9524"/>
      </w:tblGrid>
      <w:tr>
        <w:tc>
          <w:tcPr>
            <w:tcW w:type="dxa" w:w="9524"/>
            <w:shd w:val="clear" w:fill="FEF8EC"/>
          </w:tcPr>
          <w:p>
            <w:r/>
            <w:r>
              <w:rPr>
                <w:b/>
                <w:color w:val="E8A317"/>
                <w:sz w:val="20"/>
              </w:rPr>
              <w:t>Why recording an EXPECTED variance is the point</w:t>
            </w:r>
          </w:p>
          <w:p>
            <w:pPr>
              <w:spacing w:after="60"/>
            </w:pPr>
            <w:r>
              <w:rPr>
                <w:sz w:val="19"/>
              </w:rPr>
              <w:t>Without it, someone compares R65.5m to R22.0m, calls it a R43.5m reconciliation break and escalates — or worse, divides one by the other and reports a value-based redemption rate against the wrong denominator. The control does not just check the number; it records which comparisons are legitimate.</w:t>
            </w:r>
          </w:p>
        </w:tc>
      </w:tr>
    </w:tbl>
    <w:p>
      <w:pPr>
        <w:spacing w:after="80"/>
      </w:pPr>
    </w:p>
    <w:p>
      <w:pPr>
        <w:pStyle w:val="Heading1"/>
      </w:pPr>
      <w:r>
        <w:t>9. Merchant value, attrition risk and fraud signals</w:t>
      </w:r>
    </w:p>
    <w:p>
      <w:pPr>
        <w:spacing w:after="140"/>
      </w:pPr>
      <w:r>
        <w:rPr>
          <w:b/>
          <w:color w:val="12305B"/>
          <w:sz w:val="21"/>
        </w:rPr>
        <w:t xml:space="preserve">Customer lifetime value and customer churn were asked for and cannot be built. </w:t>
      </w:r>
      <w:r>
        <w:rPr>
          <w:b w:val="0"/>
          <w:sz w:val="21"/>
        </w:rPr>
        <w:t>There is no customer identifier anywhere in the four source files — not a hashed one, not a session id, not a card token. Every fact is either a merchant-daily aggregate or a voucher row with no purchaser attached. Presenting something shaped like customer CLV would be dishonest, so mart_merchant_value_risk models the defensible equivalent: the merchant is the customer of the voucher business.</w:t>
      </w:r>
    </w:p>
    <w:tbl>
      <w:tblPr>
        <w:tblStyle w:val="TableGrid"/>
        <w:tblW w:type="auto" w:w="0"/>
        <w:jc w:val="center"/>
        <w:tblLook w:firstColumn="1" w:firstRow="1" w:lastColumn="0" w:lastRow="0" w:noHBand="0" w:noVBand="1" w:val="04A0"/>
      </w:tblPr>
      <w:tblGrid>
        <w:gridCol w:w="1058"/>
        <w:gridCol w:w="1058"/>
        <w:gridCol w:w="1058"/>
        <w:gridCol w:w="1058"/>
        <w:gridCol w:w="1058"/>
        <w:gridCol w:w="1058"/>
        <w:gridCol w:w="1058"/>
        <w:gridCol w:w="1058"/>
        <w:gridCol w:w="1058"/>
      </w:tblGrid>
      <w:tr>
        <w:tc>
          <w:tcPr>
            <w:tcW w:type="dxa" w:w="2041"/>
            <w:shd w:val="clear" w:fill="12305B"/>
          </w:tcPr>
          <w:p>
            <w:pPr>
              <w:spacing w:after="40" w:before="40"/>
            </w:pPr>
            <w:r/>
            <w:r>
              <w:rPr>
                <w:b/>
                <w:color w:val="FFFFFF"/>
                <w:sz w:val="16"/>
              </w:rPr>
              <w:t>Merchant</w:t>
            </w:r>
          </w:p>
        </w:tc>
        <w:tc>
          <w:tcPr>
            <w:tcW w:type="dxa" w:w="1361"/>
            <w:shd w:val="clear" w:fill="12305B"/>
          </w:tcPr>
          <w:p>
            <w:pPr>
              <w:spacing w:after="40" w:before="40"/>
            </w:pPr>
            <w:r/>
            <w:r>
              <w:rPr>
                <w:b/>
                <w:color w:val="FFFFFF"/>
                <w:sz w:val="16"/>
              </w:rPr>
              <w:t>Region</w:t>
            </w:r>
          </w:p>
        </w:tc>
        <w:tc>
          <w:tcPr>
            <w:tcW w:type="dxa" w:w="1247"/>
            <w:shd w:val="clear" w:fill="12305B"/>
          </w:tcPr>
          <w:p>
            <w:pPr>
              <w:spacing w:after="40" w:before="40"/>
              <w:jc w:val="right"/>
            </w:pPr>
            <w:r/>
            <w:r>
              <w:rPr>
                <w:b/>
                <w:color w:val="FFFFFF"/>
                <w:sz w:val="16"/>
              </w:rPr>
              <w:t>Run rate</w:t>
            </w:r>
          </w:p>
        </w:tc>
        <w:tc>
          <w:tcPr>
            <w:tcW w:type="dxa" w:w="680"/>
            <w:shd w:val="clear" w:fill="12305B"/>
          </w:tcPr>
          <w:p>
            <w:pPr>
              <w:spacing w:after="40" w:before="40"/>
              <w:jc w:val="right"/>
            </w:pPr>
            <w:r/>
            <w:r>
              <w:rPr>
                <w:b/>
                <w:color w:val="FFFFFF"/>
                <w:sz w:val="16"/>
              </w:rPr>
              <w:t>Tenure</w:t>
            </w:r>
          </w:p>
        </w:tc>
        <w:tc>
          <w:tcPr>
            <w:tcW w:type="dxa" w:w="1361"/>
            <w:shd w:val="clear" w:fill="12305B"/>
          </w:tcPr>
          <w:p>
            <w:pPr>
              <w:spacing w:after="40" w:before="40"/>
              <w:jc w:val="right"/>
            </w:pPr>
            <w:r/>
            <w:r>
              <w:rPr>
                <w:b/>
                <w:color w:val="FFFFFF"/>
                <w:sz w:val="16"/>
              </w:rPr>
              <w:t>Implied LTV</w:t>
            </w:r>
          </w:p>
        </w:tc>
        <w:tc>
          <w:tcPr>
            <w:tcW w:type="dxa" w:w="907"/>
            <w:shd w:val="clear" w:fill="12305B"/>
          </w:tcPr>
          <w:p>
            <w:pPr>
              <w:spacing w:after="40" w:before="40"/>
              <w:jc w:val="right"/>
            </w:pPr>
            <w:r/>
            <w:r>
              <w:rPr>
                <w:b/>
                <w:color w:val="FFFFFF"/>
                <w:sz w:val="16"/>
              </w:rPr>
              <w:t>Attrition</w:t>
            </w:r>
          </w:p>
        </w:tc>
        <w:tc>
          <w:tcPr>
            <w:tcW w:type="dxa" w:w="794"/>
            <w:shd w:val="clear" w:fill="12305B"/>
          </w:tcPr>
          <w:p>
            <w:pPr>
              <w:spacing w:after="40" w:before="40"/>
            </w:pPr>
            <w:r/>
            <w:r>
              <w:rPr>
                <w:b/>
                <w:color w:val="FFFFFF"/>
                <w:sz w:val="16"/>
              </w:rPr>
              <w:t>Band</w:t>
            </w:r>
          </w:p>
        </w:tc>
        <w:tc>
          <w:tcPr>
            <w:tcW w:type="dxa" w:w="680"/>
            <w:shd w:val="clear" w:fill="12305B"/>
          </w:tcPr>
          <w:p>
            <w:pPr>
              <w:spacing w:after="40" w:before="40"/>
              <w:jc w:val="right"/>
            </w:pPr>
            <w:r/>
            <w:r>
              <w:rPr>
                <w:b/>
                <w:color w:val="FFFFFF"/>
                <w:sz w:val="16"/>
              </w:rPr>
              <w:t>Rev/1k</w:t>
            </w:r>
          </w:p>
        </w:tc>
        <w:tc>
          <w:tcPr>
            <w:tcW w:type="dxa" w:w="794"/>
            <w:shd w:val="clear" w:fill="12305B"/>
          </w:tcPr>
          <w:p>
            <w:pPr>
              <w:spacing w:after="40" w:before="40"/>
            </w:pPr>
            <w:r/>
            <w:r>
              <w:rPr>
                <w:b/>
                <w:color w:val="FFFFFF"/>
                <w:sz w:val="16"/>
              </w:rPr>
              <w:t>Signal</w:t>
            </w:r>
          </w:p>
        </w:tc>
      </w:tr>
      <w:tr>
        <w:tc>
          <w:tcPr>
            <w:tcW w:type="dxa" w:w="2041"/>
          </w:tcPr>
          <w:p>
            <w:pPr>
              <w:spacing w:after="40" w:before="40"/>
            </w:pPr>
            <w:r/>
            <w:r>
              <w:rPr>
                <w:sz w:val="16"/>
              </w:rPr>
              <w:t>Durban Cash Hub</w:t>
            </w:r>
          </w:p>
        </w:tc>
        <w:tc>
          <w:tcPr>
            <w:tcW w:type="dxa" w:w="1361"/>
          </w:tcPr>
          <w:p>
            <w:pPr>
              <w:spacing w:after="40" w:before="40"/>
            </w:pPr>
            <w:r/>
            <w:r>
              <w:rPr>
                <w:sz w:val="16"/>
              </w:rPr>
              <w:t>Western Cape</w:t>
            </w:r>
          </w:p>
        </w:tc>
        <w:tc>
          <w:tcPr>
            <w:tcW w:type="dxa" w:w="1247"/>
          </w:tcPr>
          <w:p>
            <w:pPr>
              <w:spacing w:after="40" w:before="40"/>
              <w:jc w:val="right"/>
            </w:pPr>
            <w:r/>
            <w:r>
              <w:rPr>
                <w:sz w:val="16"/>
              </w:rPr>
              <w:t>R9,901,918</w:t>
            </w:r>
          </w:p>
        </w:tc>
        <w:tc>
          <w:tcPr>
            <w:tcW w:type="dxa" w:w="680"/>
          </w:tcPr>
          <w:p>
            <w:pPr>
              <w:spacing w:after="40" w:before="40"/>
              <w:jc w:val="right"/>
            </w:pPr>
            <w:r/>
            <w:r>
              <w:rPr>
                <w:sz w:val="16"/>
              </w:rPr>
              <w:t>26m</w:t>
            </w:r>
          </w:p>
        </w:tc>
        <w:tc>
          <w:tcPr>
            <w:tcW w:type="dxa" w:w="1361"/>
          </w:tcPr>
          <w:p>
            <w:pPr>
              <w:spacing w:after="40" w:before="40"/>
              <w:jc w:val="right"/>
            </w:pPr>
            <w:r/>
            <w:r>
              <w:rPr>
                <w:sz w:val="16"/>
              </w:rPr>
              <w:t>R21,454,155</w:t>
            </w:r>
          </w:p>
        </w:tc>
        <w:tc>
          <w:tcPr>
            <w:tcW w:type="dxa" w:w="907"/>
          </w:tcPr>
          <w:p>
            <w:pPr>
              <w:spacing w:after="40" w:before="40"/>
              <w:jc w:val="right"/>
            </w:pPr>
            <w:r/>
            <w:r>
              <w:rPr>
                <w:sz w:val="16"/>
              </w:rPr>
              <w:t>60</w:t>
            </w:r>
          </w:p>
        </w:tc>
        <w:tc>
          <w:tcPr>
            <w:tcW w:type="dxa" w:w="794"/>
          </w:tcPr>
          <w:p>
            <w:pPr>
              <w:spacing w:after="40" w:before="40"/>
            </w:pPr>
            <w:r/>
            <w:r>
              <w:rPr>
                <w:sz w:val="16"/>
              </w:rPr>
              <w:t>Medium</w:t>
            </w:r>
          </w:p>
        </w:tc>
        <w:tc>
          <w:tcPr>
            <w:tcW w:type="dxa" w:w="680"/>
          </w:tcPr>
          <w:p>
            <w:pPr>
              <w:spacing w:after="40" w:before="40"/>
              <w:jc w:val="right"/>
            </w:pPr>
            <w:r/>
            <w:r>
              <w:rPr>
                <w:sz w:val="16"/>
              </w:rPr>
              <w:t>0.42</w:t>
            </w:r>
          </w:p>
        </w:tc>
        <w:tc>
          <w:tcPr>
            <w:tcW w:type="dxa" w:w="794"/>
          </w:tcPr>
          <w:p>
            <w:pPr>
              <w:spacing w:after="40" w:before="40"/>
            </w:pPr>
            <w:r/>
            <w:r>
              <w:rPr>
                <w:sz w:val="16"/>
              </w:rPr>
              <w:t>Normal</w:t>
            </w:r>
          </w:p>
        </w:tc>
      </w:tr>
      <w:tr>
        <w:tc>
          <w:tcPr>
            <w:tcW w:type="dxa" w:w="2041"/>
            <w:shd w:val="clear" w:fill="F2F6FB"/>
          </w:tcPr>
          <w:p>
            <w:pPr>
              <w:spacing w:after="40" w:before="40"/>
            </w:pPr>
            <w:r/>
            <w:r>
              <w:rPr>
                <w:sz w:val="16"/>
              </w:rPr>
              <w:t>Kudu Digital Kiosk</w:t>
            </w:r>
          </w:p>
        </w:tc>
        <w:tc>
          <w:tcPr>
            <w:tcW w:type="dxa" w:w="1361"/>
            <w:shd w:val="clear" w:fill="F2F6FB"/>
          </w:tcPr>
          <w:p>
            <w:pPr>
              <w:spacing w:after="40" w:before="40"/>
            </w:pPr>
            <w:r/>
            <w:r>
              <w:rPr>
                <w:sz w:val="16"/>
              </w:rPr>
              <w:t>KwaZulu-Natal</w:t>
            </w:r>
          </w:p>
        </w:tc>
        <w:tc>
          <w:tcPr>
            <w:tcW w:type="dxa" w:w="1247"/>
            <w:shd w:val="clear" w:fill="F2F6FB"/>
          </w:tcPr>
          <w:p>
            <w:pPr>
              <w:spacing w:after="40" w:before="40"/>
              <w:jc w:val="right"/>
            </w:pPr>
            <w:r/>
            <w:r>
              <w:rPr>
                <w:sz w:val="16"/>
              </w:rPr>
              <w:t>R7,774,851</w:t>
            </w:r>
          </w:p>
        </w:tc>
        <w:tc>
          <w:tcPr>
            <w:tcW w:type="dxa" w:w="680"/>
            <w:shd w:val="clear" w:fill="F2F6FB"/>
          </w:tcPr>
          <w:p>
            <w:pPr>
              <w:spacing w:after="40" w:before="40"/>
              <w:jc w:val="right"/>
            </w:pPr>
            <w:r/>
            <w:r>
              <w:rPr>
                <w:sz w:val="16"/>
              </w:rPr>
              <w:t>42m</w:t>
            </w:r>
          </w:p>
        </w:tc>
        <w:tc>
          <w:tcPr>
            <w:tcW w:type="dxa" w:w="1361"/>
            <w:shd w:val="clear" w:fill="F2F6FB"/>
          </w:tcPr>
          <w:p>
            <w:pPr>
              <w:spacing w:after="40" w:before="40"/>
              <w:jc w:val="right"/>
            </w:pPr>
            <w:r/>
            <w:r>
              <w:rPr>
                <w:sz w:val="16"/>
              </w:rPr>
              <w:t>R27,211,978</w:t>
            </w:r>
          </w:p>
        </w:tc>
        <w:tc>
          <w:tcPr>
            <w:tcW w:type="dxa" w:w="907"/>
            <w:shd w:val="clear" w:fill="F2F6FB"/>
          </w:tcPr>
          <w:p>
            <w:pPr>
              <w:spacing w:after="40" w:before="40"/>
              <w:jc w:val="right"/>
            </w:pPr>
            <w:r/>
            <w:r>
              <w:rPr>
                <w:sz w:val="16"/>
              </w:rPr>
              <w:t>10</w:t>
            </w:r>
          </w:p>
        </w:tc>
        <w:tc>
          <w:tcPr>
            <w:tcW w:type="dxa" w:w="794"/>
            <w:shd w:val="clear" w:fill="F2F6FB"/>
          </w:tcPr>
          <w:p>
            <w:pPr>
              <w:spacing w:after="40" w:before="40"/>
            </w:pPr>
            <w:r/>
            <w:r>
              <w:rPr>
                <w:sz w:val="16"/>
              </w:rPr>
              <w:t>Low</w:t>
            </w:r>
          </w:p>
        </w:tc>
        <w:tc>
          <w:tcPr>
            <w:tcW w:type="dxa" w:w="680"/>
            <w:shd w:val="clear" w:fill="F2F6FB"/>
          </w:tcPr>
          <w:p>
            <w:pPr>
              <w:spacing w:after="40" w:before="40"/>
              <w:jc w:val="right"/>
            </w:pPr>
            <w:r/>
            <w:r>
              <w:rPr>
                <w:sz w:val="16"/>
              </w:rPr>
              <w:t>0.20</w:t>
            </w:r>
          </w:p>
        </w:tc>
        <w:tc>
          <w:tcPr>
            <w:tcW w:type="dxa" w:w="794"/>
            <w:shd w:val="clear" w:fill="F2F6FB"/>
          </w:tcPr>
          <w:p>
            <w:pPr>
              <w:spacing w:after="40" w:before="40"/>
            </w:pPr>
            <w:r/>
            <w:r>
              <w:rPr>
                <w:sz w:val="16"/>
              </w:rPr>
              <w:t>Normal</w:t>
            </w:r>
          </w:p>
        </w:tc>
      </w:tr>
      <w:tr>
        <w:tc>
          <w:tcPr>
            <w:tcW w:type="dxa" w:w="2041"/>
          </w:tcPr>
          <w:p>
            <w:pPr>
              <w:spacing w:after="40" w:before="40"/>
            </w:pPr>
            <w:r/>
            <w:r>
              <w:rPr>
                <w:sz w:val="16"/>
              </w:rPr>
              <w:t>Zebra Route Services</w:t>
            </w:r>
          </w:p>
        </w:tc>
        <w:tc>
          <w:tcPr>
            <w:tcW w:type="dxa" w:w="1361"/>
          </w:tcPr>
          <w:p>
            <w:pPr>
              <w:spacing w:after="40" w:before="40"/>
            </w:pPr>
            <w:r/>
            <w:r>
              <w:rPr>
                <w:sz w:val="16"/>
              </w:rPr>
              <w:t>Gauteng</w:t>
            </w:r>
          </w:p>
        </w:tc>
        <w:tc>
          <w:tcPr>
            <w:tcW w:type="dxa" w:w="1247"/>
          </w:tcPr>
          <w:p>
            <w:pPr>
              <w:spacing w:after="40" w:before="40"/>
              <w:jc w:val="right"/>
            </w:pPr>
            <w:r/>
            <w:r>
              <w:rPr>
                <w:sz w:val="16"/>
              </w:rPr>
              <w:t>R7,748,163</w:t>
            </w:r>
          </w:p>
        </w:tc>
        <w:tc>
          <w:tcPr>
            <w:tcW w:type="dxa" w:w="680"/>
          </w:tcPr>
          <w:p>
            <w:pPr>
              <w:spacing w:after="40" w:before="40"/>
              <w:jc w:val="right"/>
            </w:pPr>
            <w:r/>
            <w:r>
              <w:rPr>
                <w:sz w:val="16"/>
              </w:rPr>
              <w:t>37m</w:t>
            </w:r>
          </w:p>
        </w:tc>
        <w:tc>
          <w:tcPr>
            <w:tcW w:type="dxa" w:w="1361"/>
          </w:tcPr>
          <w:p>
            <w:pPr>
              <w:spacing w:after="40" w:before="40"/>
              <w:jc w:val="right"/>
            </w:pPr>
            <w:r/>
            <w:r>
              <w:rPr>
                <w:sz w:val="16"/>
              </w:rPr>
              <w:t>R23,890,170</w:t>
            </w:r>
          </w:p>
        </w:tc>
        <w:tc>
          <w:tcPr>
            <w:tcW w:type="dxa" w:w="907"/>
          </w:tcPr>
          <w:p>
            <w:pPr>
              <w:spacing w:after="40" w:before="40"/>
              <w:jc w:val="right"/>
            </w:pPr>
            <w:r/>
            <w:r>
              <w:rPr>
                <w:sz w:val="16"/>
              </w:rPr>
              <w:t>31</w:t>
            </w:r>
          </w:p>
        </w:tc>
        <w:tc>
          <w:tcPr>
            <w:tcW w:type="dxa" w:w="794"/>
          </w:tcPr>
          <w:p>
            <w:pPr>
              <w:spacing w:after="40" w:before="40"/>
            </w:pPr>
            <w:r/>
            <w:r>
              <w:rPr>
                <w:sz w:val="16"/>
              </w:rPr>
              <w:t>Low</w:t>
            </w:r>
          </w:p>
        </w:tc>
        <w:tc>
          <w:tcPr>
            <w:tcW w:type="dxa" w:w="680"/>
          </w:tcPr>
          <w:p>
            <w:pPr>
              <w:spacing w:after="40" w:before="40"/>
              <w:jc w:val="right"/>
            </w:pPr>
            <w:r/>
            <w:r>
              <w:rPr>
                <w:sz w:val="16"/>
              </w:rPr>
              <w:t>0.28</w:t>
            </w:r>
          </w:p>
        </w:tc>
        <w:tc>
          <w:tcPr>
            <w:tcW w:type="dxa" w:w="794"/>
          </w:tcPr>
          <w:p>
            <w:pPr>
              <w:spacing w:after="40" w:before="40"/>
            </w:pPr>
            <w:r/>
            <w:r>
              <w:rPr>
                <w:sz w:val="16"/>
              </w:rPr>
              <w:t>Monitor</w:t>
            </w:r>
          </w:p>
        </w:tc>
      </w:tr>
      <w:tr>
        <w:tc>
          <w:tcPr>
            <w:tcW w:type="dxa" w:w="2041"/>
            <w:shd w:val="clear" w:fill="F2F6FB"/>
          </w:tcPr>
          <w:p>
            <w:pPr>
              <w:spacing w:after="40" w:before="40"/>
            </w:pPr>
            <w:r/>
            <w:r>
              <w:rPr>
                <w:sz w:val="16"/>
              </w:rPr>
              <w:t>Karoo Quick Shop</w:t>
            </w:r>
          </w:p>
        </w:tc>
        <w:tc>
          <w:tcPr>
            <w:tcW w:type="dxa" w:w="1361"/>
            <w:shd w:val="clear" w:fill="F2F6FB"/>
          </w:tcPr>
          <w:p>
            <w:pPr>
              <w:spacing w:after="40" w:before="40"/>
            </w:pPr>
            <w:r/>
            <w:r>
              <w:rPr>
                <w:sz w:val="16"/>
              </w:rPr>
              <w:t>Gauteng</w:t>
            </w:r>
          </w:p>
        </w:tc>
        <w:tc>
          <w:tcPr>
            <w:tcW w:type="dxa" w:w="1247"/>
            <w:shd w:val="clear" w:fill="F2F6FB"/>
          </w:tcPr>
          <w:p>
            <w:pPr>
              <w:spacing w:after="40" w:before="40"/>
              <w:jc w:val="right"/>
            </w:pPr>
            <w:r/>
            <w:r>
              <w:rPr>
                <w:sz w:val="16"/>
              </w:rPr>
              <w:t>R7,534,401</w:t>
            </w:r>
          </w:p>
        </w:tc>
        <w:tc>
          <w:tcPr>
            <w:tcW w:type="dxa" w:w="680"/>
            <w:shd w:val="clear" w:fill="F2F6FB"/>
          </w:tcPr>
          <w:p>
            <w:pPr>
              <w:spacing w:after="40" w:before="40"/>
              <w:jc w:val="right"/>
            </w:pPr>
            <w:r/>
            <w:r>
              <w:rPr>
                <w:sz w:val="16"/>
              </w:rPr>
              <w:t>20m</w:t>
            </w:r>
          </w:p>
        </w:tc>
        <w:tc>
          <w:tcPr>
            <w:tcW w:type="dxa" w:w="1361"/>
            <w:shd w:val="clear" w:fill="F2F6FB"/>
          </w:tcPr>
          <w:p>
            <w:pPr>
              <w:spacing w:after="40" w:before="40"/>
              <w:jc w:val="right"/>
            </w:pPr>
            <w:r/>
            <w:r>
              <w:rPr>
                <w:sz w:val="16"/>
              </w:rPr>
              <w:t>R12,557,335</w:t>
            </w:r>
          </w:p>
        </w:tc>
        <w:tc>
          <w:tcPr>
            <w:tcW w:type="dxa" w:w="907"/>
            <w:shd w:val="clear" w:fill="F2F6FB"/>
          </w:tcPr>
          <w:p>
            <w:pPr>
              <w:spacing w:after="40" w:before="40"/>
              <w:jc w:val="right"/>
            </w:pPr>
            <w:r/>
            <w:r>
              <w:rPr>
                <w:sz w:val="16"/>
              </w:rPr>
              <w:t>47</w:t>
            </w:r>
          </w:p>
        </w:tc>
        <w:tc>
          <w:tcPr>
            <w:tcW w:type="dxa" w:w="794"/>
            <w:shd w:val="clear" w:fill="F2F6FB"/>
          </w:tcPr>
          <w:p>
            <w:pPr>
              <w:spacing w:after="40" w:before="40"/>
            </w:pPr>
            <w:r/>
            <w:r>
              <w:rPr>
                <w:sz w:val="16"/>
              </w:rPr>
              <w:t>Low</w:t>
            </w:r>
          </w:p>
        </w:tc>
        <w:tc>
          <w:tcPr>
            <w:tcW w:type="dxa" w:w="680"/>
            <w:shd w:val="clear" w:fill="F2F6FB"/>
          </w:tcPr>
          <w:p>
            <w:pPr>
              <w:spacing w:after="40" w:before="40"/>
              <w:jc w:val="right"/>
            </w:pPr>
            <w:r/>
            <w:r>
              <w:rPr>
                <w:sz w:val="16"/>
              </w:rPr>
              <w:t>0.29</w:t>
            </w:r>
          </w:p>
        </w:tc>
        <w:tc>
          <w:tcPr>
            <w:tcW w:type="dxa" w:w="794"/>
            <w:shd w:val="clear" w:fill="F2F6FB"/>
          </w:tcPr>
          <w:p>
            <w:pPr>
              <w:spacing w:after="40" w:before="40"/>
            </w:pPr>
            <w:r/>
            <w:r>
              <w:rPr>
                <w:sz w:val="16"/>
              </w:rPr>
              <w:t>Normal</w:t>
            </w:r>
          </w:p>
        </w:tc>
      </w:tr>
      <w:tr>
        <w:tc>
          <w:tcPr>
            <w:tcW w:type="dxa" w:w="2041"/>
          </w:tcPr>
          <w:p>
            <w:pPr>
              <w:spacing w:after="40" w:before="40"/>
            </w:pPr>
            <w:r/>
            <w:r>
              <w:rPr>
                <w:sz w:val="16"/>
              </w:rPr>
              <w:t>Lighthouse General Dealer</w:t>
            </w:r>
          </w:p>
        </w:tc>
        <w:tc>
          <w:tcPr>
            <w:tcW w:type="dxa" w:w="1361"/>
          </w:tcPr>
          <w:p>
            <w:pPr>
              <w:spacing w:after="40" w:before="40"/>
            </w:pPr>
            <w:r/>
            <w:r>
              <w:rPr>
                <w:sz w:val="16"/>
              </w:rPr>
              <w:t>Gauteng</w:t>
            </w:r>
          </w:p>
        </w:tc>
        <w:tc>
          <w:tcPr>
            <w:tcW w:type="dxa" w:w="1247"/>
          </w:tcPr>
          <w:p>
            <w:pPr>
              <w:spacing w:after="40" w:before="40"/>
              <w:jc w:val="right"/>
            </w:pPr>
            <w:r/>
            <w:r>
              <w:rPr>
                <w:sz w:val="16"/>
              </w:rPr>
              <w:t>R6,797,291</w:t>
            </w:r>
          </w:p>
        </w:tc>
        <w:tc>
          <w:tcPr>
            <w:tcW w:type="dxa" w:w="680"/>
          </w:tcPr>
          <w:p>
            <w:pPr>
              <w:spacing w:after="40" w:before="40"/>
              <w:jc w:val="right"/>
            </w:pPr>
            <w:r/>
            <w:r>
              <w:rPr>
                <w:sz w:val="16"/>
              </w:rPr>
              <w:t>28m</w:t>
            </w:r>
          </w:p>
        </w:tc>
        <w:tc>
          <w:tcPr>
            <w:tcW w:type="dxa" w:w="1361"/>
          </w:tcPr>
          <w:p>
            <w:pPr>
              <w:spacing w:after="40" w:before="40"/>
              <w:jc w:val="right"/>
            </w:pPr>
            <w:r/>
            <w:r>
              <w:rPr>
                <w:sz w:val="16"/>
              </w:rPr>
              <w:t>R15,860,346</w:t>
            </w:r>
          </w:p>
        </w:tc>
        <w:tc>
          <w:tcPr>
            <w:tcW w:type="dxa" w:w="907"/>
          </w:tcPr>
          <w:p>
            <w:pPr>
              <w:spacing w:after="40" w:before="40"/>
              <w:jc w:val="right"/>
            </w:pPr>
            <w:r/>
            <w:r>
              <w:rPr>
                <w:sz w:val="16"/>
              </w:rPr>
              <w:t>42</w:t>
            </w:r>
          </w:p>
        </w:tc>
        <w:tc>
          <w:tcPr>
            <w:tcW w:type="dxa" w:w="794"/>
          </w:tcPr>
          <w:p>
            <w:pPr>
              <w:spacing w:after="40" w:before="40"/>
            </w:pPr>
            <w:r/>
            <w:r>
              <w:rPr>
                <w:sz w:val="16"/>
              </w:rPr>
              <w:t>Low</w:t>
            </w:r>
          </w:p>
        </w:tc>
        <w:tc>
          <w:tcPr>
            <w:tcW w:type="dxa" w:w="680"/>
          </w:tcPr>
          <w:p>
            <w:pPr>
              <w:spacing w:after="40" w:before="40"/>
              <w:jc w:val="right"/>
            </w:pPr>
            <w:r/>
            <w:r>
              <w:rPr>
                <w:sz w:val="16"/>
              </w:rPr>
              <w:t>0.19</w:t>
            </w:r>
          </w:p>
        </w:tc>
        <w:tc>
          <w:tcPr>
            <w:tcW w:type="dxa" w:w="794"/>
          </w:tcPr>
          <w:p>
            <w:pPr>
              <w:spacing w:after="40" w:before="40"/>
            </w:pPr>
            <w:r/>
            <w:r>
              <w:rPr>
                <w:sz w:val="16"/>
              </w:rPr>
              <w:t>Normal</w:t>
            </w:r>
          </w:p>
        </w:tc>
      </w:tr>
      <w:tr>
        <w:tc>
          <w:tcPr>
            <w:tcW w:type="dxa" w:w="2041"/>
            <w:shd w:val="clear" w:fill="F2F6FB"/>
          </w:tcPr>
          <w:p>
            <w:pPr>
              <w:spacing w:after="40" w:before="40"/>
            </w:pPr>
            <w:r/>
            <w:r>
              <w:rPr>
                <w:sz w:val="16"/>
              </w:rPr>
              <w:t>North Coast Connect</w:t>
            </w:r>
          </w:p>
        </w:tc>
        <w:tc>
          <w:tcPr>
            <w:tcW w:type="dxa" w:w="1361"/>
            <w:shd w:val="clear" w:fill="F2F6FB"/>
          </w:tcPr>
          <w:p>
            <w:pPr>
              <w:spacing w:after="40" w:before="40"/>
            </w:pPr>
            <w:r/>
            <w:r>
              <w:rPr>
                <w:sz w:val="16"/>
              </w:rPr>
              <w:t>Free State</w:t>
            </w:r>
          </w:p>
        </w:tc>
        <w:tc>
          <w:tcPr>
            <w:tcW w:type="dxa" w:w="1247"/>
            <w:shd w:val="clear" w:fill="F2F6FB"/>
          </w:tcPr>
          <w:p>
            <w:pPr>
              <w:spacing w:after="40" w:before="40"/>
              <w:jc w:val="right"/>
            </w:pPr>
            <w:r/>
            <w:r>
              <w:rPr>
                <w:sz w:val="16"/>
              </w:rPr>
              <w:t>R6,396,655</w:t>
            </w:r>
          </w:p>
        </w:tc>
        <w:tc>
          <w:tcPr>
            <w:tcW w:type="dxa" w:w="680"/>
            <w:shd w:val="clear" w:fill="F2F6FB"/>
          </w:tcPr>
          <w:p>
            <w:pPr>
              <w:spacing w:after="40" w:before="40"/>
              <w:jc w:val="right"/>
            </w:pPr>
            <w:r/>
            <w:r>
              <w:rPr>
                <w:sz w:val="16"/>
              </w:rPr>
              <w:t>15m</w:t>
            </w:r>
          </w:p>
        </w:tc>
        <w:tc>
          <w:tcPr>
            <w:tcW w:type="dxa" w:w="1361"/>
            <w:shd w:val="clear" w:fill="F2F6FB"/>
          </w:tcPr>
          <w:p>
            <w:pPr>
              <w:spacing w:after="40" w:before="40"/>
              <w:jc w:val="right"/>
            </w:pPr>
            <w:r/>
            <w:r>
              <w:rPr>
                <w:sz w:val="16"/>
              </w:rPr>
              <w:t>R7,995,818</w:t>
            </w:r>
          </w:p>
        </w:tc>
        <w:tc>
          <w:tcPr>
            <w:tcW w:type="dxa" w:w="907"/>
            <w:shd w:val="clear" w:fill="F2F6FB"/>
          </w:tcPr>
          <w:p>
            <w:pPr>
              <w:spacing w:after="40" w:before="40"/>
              <w:jc w:val="right"/>
            </w:pPr>
            <w:r/>
            <w:r>
              <w:rPr>
                <w:sz w:val="16"/>
              </w:rPr>
              <w:t>62</w:t>
            </w:r>
          </w:p>
        </w:tc>
        <w:tc>
          <w:tcPr>
            <w:tcW w:type="dxa" w:w="794"/>
            <w:shd w:val="clear" w:fill="F2F6FB"/>
          </w:tcPr>
          <w:p>
            <w:pPr>
              <w:spacing w:after="40" w:before="40"/>
            </w:pPr>
            <w:r/>
            <w:r>
              <w:rPr>
                <w:sz w:val="16"/>
              </w:rPr>
              <w:t>Medium</w:t>
            </w:r>
          </w:p>
        </w:tc>
        <w:tc>
          <w:tcPr>
            <w:tcW w:type="dxa" w:w="680"/>
            <w:shd w:val="clear" w:fill="F2F6FB"/>
          </w:tcPr>
          <w:p>
            <w:pPr>
              <w:spacing w:after="40" w:before="40"/>
              <w:jc w:val="right"/>
            </w:pPr>
            <w:r/>
            <w:r>
              <w:rPr>
                <w:sz w:val="16"/>
              </w:rPr>
              <w:t>0.27</w:t>
            </w:r>
          </w:p>
        </w:tc>
        <w:tc>
          <w:tcPr>
            <w:tcW w:type="dxa" w:w="794"/>
            <w:shd w:val="clear" w:fill="F2F6FB"/>
          </w:tcPr>
          <w:p>
            <w:pPr>
              <w:spacing w:after="40" w:before="40"/>
            </w:pPr>
            <w:r/>
            <w:r>
              <w:rPr>
                <w:sz w:val="16"/>
              </w:rPr>
              <w:t>Normal</w:t>
            </w:r>
          </w:p>
        </w:tc>
      </w:tr>
      <w:tr>
        <w:tc>
          <w:tcPr>
            <w:tcW w:type="dxa" w:w="2041"/>
          </w:tcPr>
          <w:p>
            <w:pPr>
              <w:spacing w:after="40" w:before="40"/>
            </w:pPr>
            <w:r/>
            <w:r>
              <w:rPr>
                <w:sz w:val="16"/>
              </w:rPr>
              <w:t>Ubuntu Trading Post</w:t>
            </w:r>
          </w:p>
        </w:tc>
        <w:tc>
          <w:tcPr>
            <w:tcW w:type="dxa" w:w="1361"/>
          </w:tcPr>
          <w:p>
            <w:pPr>
              <w:spacing w:after="40" w:before="40"/>
            </w:pPr>
            <w:r/>
            <w:r>
              <w:rPr>
                <w:sz w:val="16"/>
              </w:rPr>
              <w:t>KwaZulu-Natal</w:t>
            </w:r>
          </w:p>
        </w:tc>
        <w:tc>
          <w:tcPr>
            <w:tcW w:type="dxa" w:w="1247"/>
          </w:tcPr>
          <w:p>
            <w:pPr>
              <w:spacing w:after="40" w:before="40"/>
              <w:jc w:val="right"/>
            </w:pPr>
            <w:r/>
            <w:r>
              <w:rPr>
                <w:sz w:val="16"/>
              </w:rPr>
              <w:t>R6,083,908</w:t>
            </w:r>
          </w:p>
        </w:tc>
        <w:tc>
          <w:tcPr>
            <w:tcW w:type="dxa" w:w="680"/>
          </w:tcPr>
          <w:p>
            <w:pPr>
              <w:spacing w:after="40" w:before="40"/>
              <w:jc w:val="right"/>
            </w:pPr>
            <w:r/>
            <w:r>
              <w:rPr>
                <w:sz w:val="16"/>
              </w:rPr>
              <w:t>18m</w:t>
            </w:r>
          </w:p>
        </w:tc>
        <w:tc>
          <w:tcPr>
            <w:tcW w:type="dxa" w:w="1361"/>
          </w:tcPr>
          <w:p>
            <w:pPr>
              <w:spacing w:after="40" w:before="40"/>
              <w:jc w:val="right"/>
            </w:pPr>
            <w:r/>
            <w:r>
              <w:rPr>
                <w:sz w:val="16"/>
              </w:rPr>
              <w:t>R9,125,862</w:t>
            </w:r>
          </w:p>
        </w:tc>
        <w:tc>
          <w:tcPr>
            <w:tcW w:type="dxa" w:w="907"/>
          </w:tcPr>
          <w:p>
            <w:pPr>
              <w:spacing w:after="40" w:before="40"/>
              <w:jc w:val="right"/>
            </w:pPr>
            <w:r/>
            <w:r>
              <w:rPr>
                <w:sz w:val="16"/>
              </w:rPr>
              <w:t>31</w:t>
            </w:r>
          </w:p>
        </w:tc>
        <w:tc>
          <w:tcPr>
            <w:tcW w:type="dxa" w:w="794"/>
          </w:tcPr>
          <w:p>
            <w:pPr>
              <w:spacing w:after="40" w:before="40"/>
            </w:pPr>
            <w:r/>
            <w:r>
              <w:rPr>
                <w:sz w:val="16"/>
              </w:rPr>
              <w:t>Low</w:t>
            </w:r>
          </w:p>
        </w:tc>
        <w:tc>
          <w:tcPr>
            <w:tcW w:type="dxa" w:w="680"/>
          </w:tcPr>
          <w:p>
            <w:pPr>
              <w:spacing w:after="40" w:before="40"/>
              <w:jc w:val="right"/>
            </w:pPr>
            <w:r/>
            <w:r>
              <w:rPr>
                <w:sz w:val="16"/>
              </w:rPr>
              <w:t>0.47</w:t>
            </w:r>
          </w:p>
        </w:tc>
        <w:tc>
          <w:tcPr>
            <w:tcW w:type="dxa" w:w="794"/>
          </w:tcPr>
          <w:p>
            <w:pPr>
              <w:spacing w:after="40" w:before="40"/>
            </w:pPr>
            <w:r/>
            <w:r>
              <w:rPr>
                <w:sz w:val="16"/>
              </w:rPr>
              <w:t>Monitor</w:t>
            </w:r>
          </w:p>
        </w:tc>
      </w:tr>
      <w:tr>
        <w:tc>
          <w:tcPr>
            <w:tcW w:type="dxa" w:w="2041"/>
            <w:shd w:val="clear" w:fill="F2F6FB"/>
          </w:tcPr>
          <w:p>
            <w:pPr>
              <w:spacing w:after="40" w:before="40"/>
            </w:pPr>
            <w:r/>
            <w:r>
              <w:rPr>
                <w:sz w:val="16"/>
              </w:rPr>
              <w:t>Table Bay Express</w:t>
            </w:r>
          </w:p>
        </w:tc>
        <w:tc>
          <w:tcPr>
            <w:tcW w:type="dxa" w:w="1361"/>
            <w:shd w:val="clear" w:fill="F2F6FB"/>
          </w:tcPr>
          <w:p>
            <w:pPr>
              <w:spacing w:after="40" w:before="40"/>
            </w:pPr>
            <w:r/>
            <w:r>
              <w:rPr>
                <w:sz w:val="16"/>
              </w:rPr>
              <w:t>Eastern Cape</w:t>
            </w:r>
          </w:p>
        </w:tc>
        <w:tc>
          <w:tcPr>
            <w:tcW w:type="dxa" w:w="1247"/>
            <w:shd w:val="clear" w:fill="F2F6FB"/>
          </w:tcPr>
          <w:p>
            <w:pPr>
              <w:spacing w:after="40" w:before="40"/>
              <w:jc w:val="right"/>
            </w:pPr>
            <w:r/>
            <w:r>
              <w:rPr>
                <w:sz w:val="16"/>
              </w:rPr>
              <w:t>R5,700,525</w:t>
            </w:r>
          </w:p>
        </w:tc>
        <w:tc>
          <w:tcPr>
            <w:tcW w:type="dxa" w:w="680"/>
            <w:shd w:val="clear" w:fill="F2F6FB"/>
          </w:tcPr>
          <w:p>
            <w:pPr>
              <w:spacing w:after="40" w:before="40"/>
              <w:jc w:val="right"/>
            </w:pPr>
            <w:r/>
            <w:r>
              <w:rPr>
                <w:sz w:val="16"/>
              </w:rPr>
              <w:t>40m</w:t>
            </w:r>
          </w:p>
        </w:tc>
        <w:tc>
          <w:tcPr>
            <w:tcW w:type="dxa" w:w="1361"/>
            <w:shd w:val="clear" w:fill="F2F6FB"/>
          </w:tcPr>
          <w:p>
            <w:pPr>
              <w:spacing w:after="40" w:before="40"/>
              <w:jc w:val="right"/>
            </w:pPr>
            <w:r/>
            <w:r>
              <w:rPr>
                <w:sz w:val="16"/>
              </w:rPr>
              <w:t>R19,001,750</w:t>
            </w:r>
          </w:p>
        </w:tc>
        <w:tc>
          <w:tcPr>
            <w:tcW w:type="dxa" w:w="907"/>
            <w:shd w:val="clear" w:fill="F2F6FB"/>
          </w:tcPr>
          <w:p>
            <w:pPr>
              <w:spacing w:after="40" w:before="40"/>
              <w:jc w:val="right"/>
            </w:pPr>
            <w:r/>
            <w:r>
              <w:rPr>
                <w:sz w:val="16"/>
              </w:rPr>
              <w:t>88</w:t>
            </w:r>
          </w:p>
        </w:tc>
        <w:tc>
          <w:tcPr>
            <w:tcW w:type="dxa" w:w="794"/>
            <w:shd w:val="clear" w:fill="F2F6FB"/>
          </w:tcPr>
          <w:p>
            <w:pPr>
              <w:spacing w:after="40" w:before="40"/>
            </w:pPr>
            <w:r/>
            <w:r>
              <w:rPr>
                <w:sz w:val="16"/>
              </w:rPr>
              <w:t>High</w:t>
            </w:r>
          </w:p>
        </w:tc>
        <w:tc>
          <w:tcPr>
            <w:tcW w:type="dxa" w:w="680"/>
            <w:shd w:val="clear" w:fill="F2F6FB"/>
          </w:tcPr>
          <w:p>
            <w:pPr>
              <w:spacing w:after="40" w:before="40"/>
              <w:jc w:val="right"/>
            </w:pPr>
            <w:r/>
            <w:r>
              <w:rPr>
                <w:sz w:val="16"/>
              </w:rPr>
              <w:t>0.38</w:t>
            </w:r>
          </w:p>
        </w:tc>
        <w:tc>
          <w:tcPr>
            <w:tcW w:type="dxa" w:w="794"/>
            <w:shd w:val="clear" w:fill="F2F6FB"/>
          </w:tcPr>
          <w:p>
            <w:pPr>
              <w:spacing w:after="40" w:before="40"/>
            </w:pPr>
            <w:r/>
            <w:r>
              <w:rPr>
                <w:sz w:val="16"/>
              </w:rPr>
              <w:t>Normal</w:t>
            </w:r>
          </w:p>
        </w:tc>
      </w:tr>
    </w:tbl>
    <w:p>
      <w:pPr>
        <w:spacing w:after="80"/>
      </w:pPr>
    </w:p>
    <w:p>
      <w:pPr>
        <w:pStyle w:val="Heading2"/>
      </w:pPr>
      <w:r>
        <w:t>Geographic intelligence</w:t>
      </w:r>
    </w:p>
    <w:p>
      <w:pPr>
        <w:spacing w:after="140" w:before="0"/>
      </w:pPr>
      <w:r>
        <w:rPr>
          <w:b w:val="0"/>
          <w:i w:val="0"/>
          <w:sz w:val="21"/>
        </w:rPr>
        <w:t>Five of South Africa's nine provinces carry merchants. The four that do not — Limpopo, Mpumalanga, North West and Northern Cape — account for 56% of the country's land area. The choropleth draws them as hatched 'no cover' rather than omitting them, because an absent province otherwise reads as zero sales when it actually means no footprint at all, which is a different commercial question.</w:t>
      </w:r>
    </w:p>
    <w:tbl>
      <w:tblPr>
        <w:tblStyle w:val="TableGrid"/>
        <w:tblW w:type="auto" w:w="0"/>
        <w:jc w:val="center"/>
        <w:tblLook w:firstColumn="1" w:firstRow="1" w:lastColumn="0" w:lastRow="0" w:noHBand="0" w:noVBand="1" w:val="04A0"/>
      </w:tblPr>
      <w:tblGrid>
        <w:gridCol w:w="1905"/>
        <w:gridCol w:w="1905"/>
        <w:gridCol w:w="1905"/>
        <w:gridCol w:w="1905"/>
        <w:gridCol w:w="1905"/>
      </w:tblGrid>
      <w:tr>
        <w:tc>
          <w:tcPr>
            <w:tcW w:type="dxa" w:w="1701"/>
            <w:shd w:val="clear" w:fill="12305B"/>
          </w:tcPr>
          <w:p>
            <w:pPr>
              <w:spacing w:after="40" w:before="40"/>
            </w:pPr>
            <w:r/>
            <w:r>
              <w:rPr>
                <w:b/>
                <w:color w:val="FFFFFF"/>
                <w:sz w:val="18"/>
              </w:rPr>
              <w:t>Province</w:t>
            </w:r>
          </w:p>
        </w:tc>
        <w:tc>
          <w:tcPr>
            <w:tcW w:type="dxa" w:w="1020"/>
            <w:shd w:val="clear" w:fill="12305B"/>
          </w:tcPr>
          <w:p>
            <w:pPr>
              <w:spacing w:after="40" w:before="40"/>
              <w:jc w:val="right"/>
            </w:pPr>
            <w:r/>
            <w:r>
              <w:rPr>
                <w:b/>
                <w:color w:val="FFFFFF"/>
                <w:sz w:val="18"/>
              </w:rPr>
              <w:t>Merchants</w:t>
            </w:r>
          </w:p>
        </w:tc>
        <w:tc>
          <w:tcPr>
            <w:tcW w:type="dxa" w:w="1701"/>
            <w:shd w:val="clear" w:fill="12305B"/>
          </w:tcPr>
          <w:p>
            <w:pPr>
              <w:spacing w:after="40" w:before="40"/>
              <w:jc w:val="right"/>
            </w:pPr>
            <w:r/>
            <w:r>
              <w:rPr>
                <w:b/>
                <w:color w:val="FFFFFF"/>
                <w:sz w:val="18"/>
              </w:rPr>
              <w:t>Sales</w:t>
            </w:r>
          </w:p>
        </w:tc>
        <w:tc>
          <w:tcPr>
            <w:tcW w:type="dxa" w:w="907"/>
            <w:shd w:val="clear" w:fill="12305B"/>
          </w:tcPr>
          <w:p>
            <w:pPr>
              <w:spacing w:after="40" w:before="40"/>
              <w:jc w:val="right"/>
            </w:pPr>
            <w:r/>
            <w:r>
              <w:rPr>
                <w:b/>
                <w:color w:val="FFFFFF"/>
                <w:sz w:val="18"/>
              </w:rPr>
              <w:t>Share</w:t>
            </w:r>
          </w:p>
        </w:tc>
        <w:tc>
          <w:tcPr>
            <w:tcW w:type="dxa" w:w="4082"/>
            <w:shd w:val="clear" w:fill="12305B"/>
          </w:tcPr>
          <w:p>
            <w:pPr>
              <w:spacing w:after="40" w:before="40"/>
            </w:pPr>
            <w:r/>
            <w:r>
              <w:rPr>
                <w:b/>
                <w:color w:val="FFFFFF"/>
                <w:sz w:val="18"/>
              </w:rPr>
              <w:t>Position</w:t>
            </w:r>
          </w:p>
        </w:tc>
      </w:tr>
      <w:tr>
        <w:tc>
          <w:tcPr>
            <w:tcW w:type="dxa" w:w="1701"/>
          </w:tcPr>
          <w:p>
            <w:pPr>
              <w:spacing w:after="40" w:before="40"/>
            </w:pPr>
            <w:r/>
            <w:r>
              <w:rPr>
                <w:sz w:val="18"/>
              </w:rPr>
              <w:t>Free State</w:t>
            </w:r>
          </w:p>
        </w:tc>
        <w:tc>
          <w:tcPr>
            <w:tcW w:type="dxa" w:w="1020"/>
          </w:tcPr>
          <w:p>
            <w:pPr>
              <w:spacing w:after="40" w:before="40"/>
              <w:jc w:val="right"/>
            </w:pPr>
            <w:r/>
            <w:r>
              <w:rPr>
                <w:sz w:val="18"/>
              </w:rPr>
              <w:t>10</w:t>
            </w:r>
          </w:p>
        </w:tc>
        <w:tc>
          <w:tcPr>
            <w:tcW w:type="dxa" w:w="1701"/>
          </w:tcPr>
          <w:p>
            <w:pPr>
              <w:spacing w:after="40" w:before="40"/>
              <w:jc w:val="right"/>
            </w:pPr>
            <w:r/>
            <w:r>
              <w:rPr>
                <w:sz w:val="18"/>
              </w:rPr>
              <w:t>R18,009,802</w:t>
            </w:r>
          </w:p>
        </w:tc>
        <w:tc>
          <w:tcPr>
            <w:tcW w:type="dxa" w:w="907"/>
          </w:tcPr>
          <w:p>
            <w:pPr>
              <w:spacing w:after="40" w:before="40"/>
              <w:jc w:val="right"/>
            </w:pPr>
            <w:r/>
            <w:r>
              <w:rPr>
                <w:sz w:val="18"/>
              </w:rPr>
              <w:t>27.5%</w:t>
            </w:r>
          </w:p>
        </w:tc>
        <w:tc>
          <w:tcPr>
            <w:tcW w:type="dxa" w:w="4082"/>
          </w:tcPr>
          <w:p>
            <w:pPr>
              <w:spacing w:after="40" w:before="40"/>
            </w:pPr>
            <w:r/>
            <w:r>
              <w:rPr>
                <w:sz w:val="18"/>
              </w:rPr>
              <w:t>Largest, and growing</w:t>
            </w:r>
          </w:p>
        </w:tc>
      </w:tr>
      <w:tr>
        <w:tc>
          <w:tcPr>
            <w:tcW w:type="dxa" w:w="1701"/>
            <w:shd w:val="clear" w:fill="F2F6FB"/>
          </w:tcPr>
          <w:p>
            <w:pPr>
              <w:spacing w:after="40" w:before="40"/>
            </w:pPr>
            <w:r/>
            <w:r>
              <w:rPr>
                <w:sz w:val="18"/>
              </w:rPr>
              <w:t>Gauteng</w:t>
            </w:r>
          </w:p>
        </w:tc>
        <w:tc>
          <w:tcPr>
            <w:tcW w:type="dxa" w:w="1020"/>
            <w:shd w:val="clear" w:fill="F2F6FB"/>
          </w:tcPr>
          <w:p>
            <w:pPr>
              <w:spacing w:after="40" w:before="40"/>
              <w:jc w:val="right"/>
            </w:pPr>
            <w:r/>
            <w:r>
              <w:rPr>
                <w:sz w:val="18"/>
              </w:rPr>
              <w:t>4</w:t>
            </w:r>
          </w:p>
        </w:tc>
        <w:tc>
          <w:tcPr>
            <w:tcW w:type="dxa" w:w="1701"/>
            <w:shd w:val="clear" w:fill="F2F6FB"/>
          </w:tcPr>
          <w:p>
            <w:pPr>
              <w:spacing w:after="40" w:before="40"/>
              <w:jc w:val="right"/>
            </w:pPr>
            <w:r/>
            <w:r>
              <w:rPr>
                <w:sz w:val="18"/>
              </w:rPr>
              <w:t>R16,145,481</w:t>
            </w:r>
          </w:p>
        </w:tc>
        <w:tc>
          <w:tcPr>
            <w:tcW w:type="dxa" w:w="907"/>
            <w:shd w:val="clear" w:fill="F2F6FB"/>
          </w:tcPr>
          <w:p>
            <w:pPr>
              <w:spacing w:after="40" w:before="40"/>
              <w:jc w:val="right"/>
            </w:pPr>
            <w:r/>
            <w:r>
              <w:rPr>
                <w:sz w:val="18"/>
              </w:rPr>
              <w:t>24.6%</w:t>
            </w:r>
          </w:p>
        </w:tc>
        <w:tc>
          <w:tcPr>
            <w:tcW w:type="dxa" w:w="4082"/>
            <w:shd w:val="clear" w:fill="F2F6FB"/>
          </w:tcPr>
          <w:p>
            <w:pPr>
              <w:spacing w:after="40" w:before="40"/>
            </w:pPr>
            <w:r/>
            <w:r>
              <w:rPr>
                <w:sz w:val="18"/>
              </w:rPr>
              <w:t>At peak</w:t>
            </w:r>
          </w:p>
        </w:tc>
      </w:tr>
      <w:tr>
        <w:tc>
          <w:tcPr>
            <w:tcW w:type="dxa" w:w="1701"/>
          </w:tcPr>
          <w:p>
            <w:pPr>
              <w:spacing w:after="40" w:before="40"/>
            </w:pPr>
            <w:r/>
            <w:r>
              <w:rPr>
                <w:sz w:val="18"/>
              </w:rPr>
              <w:t>Western Cape</w:t>
            </w:r>
          </w:p>
        </w:tc>
        <w:tc>
          <w:tcPr>
            <w:tcW w:type="dxa" w:w="1020"/>
          </w:tcPr>
          <w:p>
            <w:pPr>
              <w:spacing w:after="40" w:before="40"/>
              <w:jc w:val="right"/>
            </w:pPr>
            <w:r/>
            <w:r>
              <w:rPr>
                <w:sz w:val="18"/>
              </w:rPr>
              <w:t>4</w:t>
            </w:r>
          </w:p>
        </w:tc>
        <w:tc>
          <w:tcPr>
            <w:tcW w:type="dxa" w:w="1701"/>
          </w:tcPr>
          <w:p>
            <w:pPr>
              <w:spacing w:after="40" w:before="40"/>
              <w:jc w:val="right"/>
            </w:pPr>
            <w:r/>
            <w:r>
              <w:rPr>
                <w:sz w:val="18"/>
              </w:rPr>
              <w:t>R13,068,297</w:t>
            </w:r>
          </w:p>
        </w:tc>
        <w:tc>
          <w:tcPr>
            <w:tcW w:type="dxa" w:w="907"/>
          </w:tcPr>
          <w:p>
            <w:pPr>
              <w:spacing w:after="40" w:before="40"/>
              <w:jc w:val="right"/>
            </w:pPr>
            <w:r/>
            <w:r>
              <w:rPr>
                <w:sz w:val="18"/>
              </w:rPr>
              <w:t>19.9%</w:t>
            </w:r>
          </w:p>
        </w:tc>
        <w:tc>
          <w:tcPr>
            <w:tcW w:type="dxa" w:w="4082"/>
          </w:tcPr>
          <w:p>
            <w:pPr>
              <w:spacing w:after="40" w:before="40"/>
            </w:pPr>
            <w:r/>
            <w:r>
              <w:rPr>
                <w:sz w:val="18"/>
              </w:rPr>
              <w:t>At peak; carries the April redemption delay on Bill Payment</w:t>
            </w:r>
          </w:p>
        </w:tc>
      </w:tr>
      <w:tr>
        <w:tc>
          <w:tcPr>
            <w:tcW w:type="dxa" w:w="1701"/>
            <w:shd w:val="clear" w:fill="F2F6FB"/>
          </w:tcPr>
          <w:p>
            <w:pPr>
              <w:spacing w:after="40" w:before="40"/>
            </w:pPr>
            <w:r/>
            <w:r>
              <w:rPr>
                <w:sz w:val="18"/>
              </w:rPr>
              <w:t>KwaZulu-Natal</w:t>
            </w:r>
          </w:p>
        </w:tc>
        <w:tc>
          <w:tcPr>
            <w:tcW w:type="dxa" w:w="1020"/>
            <w:shd w:val="clear" w:fill="F2F6FB"/>
          </w:tcPr>
          <w:p>
            <w:pPr>
              <w:spacing w:after="40" w:before="40"/>
              <w:jc w:val="right"/>
            </w:pPr>
            <w:r/>
            <w:r>
              <w:rPr>
                <w:sz w:val="18"/>
              </w:rPr>
              <w:t>3</w:t>
            </w:r>
          </w:p>
        </w:tc>
        <w:tc>
          <w:tcPr>
            <w:tcW w:type="dxa" w:w="1701"/>
            <w:shd w:val="clear" w:fill="F2F6FB"/>
          </w:tcPr>
          <w:p>
            <w:pPr>
              <w:spacing w:after="40" w:before="40"/>
              <w:jc w:val="right"/>
            </w:pPr>
            <w:r/>
            <w:r>
              <w:rPr>
                <w:sz w:val="18"/>
              </w:rPr>
              <w:t>R9,516,589</w:t>
            </w:r>
          </w:p>
        </w:tc>
        <w:tc>
          <w:tcPr>
            <w:tcW w:type="dxa" w:w="907"/>
            <w:shd w:val="clear" w:fill="F2F6FB"/>
          </w:tcPr>
          <w:p>
            <w:pPr>
              <w:spacing w:after="40" w:before="40"/>
              <w:jc w:val="right"/>
            </w:pPr>
            <w:r/>
            <w:r>
              <w:rPr>
                <w:sz w:val="18"/>
              </w:rPr>
              <w:t>14.5%</w:t>
            </w:r>
          </w:p>
        </w:tc>
        <w:tc>
          <w:tcPr>
            <w:tcW w:type="dxa" w:w="4082"/>
            <w:shd w:val="clear" w:fill="F2F6FB"/>
          </w:tcPr>
          <w:p>
            <w:pPr>
              <w:spacing w:after="40" w:before="40"/>
            </w:pPr>
            <w:r/>
            <w:r>
              <w:rPr>
                <w:sz w:val="18"/>
              </w:rPr>
              <w:t>Strongest momentum (+13.1%)</w:t>
            </w:r>
          </w:p>
        </w:tc>
      </w:tr>
      <w:tr>
        <w:tc>
          <w:tcPr>
            <w:tcW w:type="dxa" w:w="1701"/>
          </w:tcPr>
          <w:p>
            <w:pPr>
              <w:spacing w:after="40" w:before="40"/>
            </w:pPr>
            <w:r/>
            <w:r>
              <w:rPr>
                <w:sz w:val="18"/>
              </w:rPr>
              <w:t>Eastern Cape</w:t>
            </w:r>
          </w:p>
        </w:tc>
        <w:tc>
          <w:tcPr>
            <w:tcW w:type="dxa" w:w="1020"/>
          </w:tcPr>
          <w:p>
            <w:pPr>
              <w:spacing w:after="40" w:before="40"/>
              <w:jc w:val="right"/>
            </w:pPr>
            <w:r/>
            <w:r>
              <w:rPr>
                <w:sz w:val="18"/>
              </w:rPr>
              <w:t>4</w:t>
            </w:r>
          </w:p>
        </w:tc>
        <w:tc>
          <w:tcPr>
            <w:tcW w:type="dxa" w:w="1701"/>
          </w:tcPr>
          <w:p>
            <w:pPr>
              <w:spacing w:after="40" w:before="40"/>
              <w:jc w:val="right"/>
            </w:pPr>
            <w:r/>
            <w:r>
              <w:rPr>
                <w:sz w:val="18"/>
              </w:rPr>
              <w:t>R8,781,130</w:t>
            </w:r>
          </w:p>
        </w:tc>
        <w:tc>
          <w:tcPr>
            <w:tcW w:type="dxa" w:w="907"/>
          </w:tcPr>
          <w:p>
            <w:pPr>
              <w:spacing w:after="40" w:before="40"/>
              <w:jc w:val="right"/>
            </w:pPr>
            <w:r/>
            <w:r>
              <w:rPr>
                <w:sz w:val="18"/>
              </w:rPr>
              <w:t>13.4%</w:t>
            </w:r>
          </w:p>
        </w:tc>
        <w:tc>
          <w:tcPr>
            <w:tcW w:type="dxa" w:w="4082"/>
          </w:tcPr>
          <w:p>
            <w:pPr>
              <w:spacing w:after="40" w:before="40"/>
            </w:pPr>
            <w:r/>
            <w:r>
              <w:rPr>
                <w:sz w:val="18"/>
              </w:rPr>
              <w:t>The only province in decline</w:t>
            </w:r>
          </w:p>
        </w:tc>
      </w:tr>
    </w:tbl>
    <w:p>
      <w:pPr>
        <w:spacing w:after="80"/>
      </w:pPr>
    </w:p>
    <w:tbl>
      <w:tblPr>
        <w:tblStyle w:val="TableGrid"/>
        <w:tblW w:type="auto" w:w="0"/>
        <w:tblLook w:firstColumn="1" w:firstRow="1" w:lastColumn="0" w:lastRow="0" w:noHBand="0" w:noVBand="1" w:val="04A0"/>
      </w:tblPr>
      <w:tblGrid>
        <w:gridCol w:w="9524"/>
      </w:tblGrid>
      <w:tr>
        <w:tc>
          <w:tcPr>
            <w:tcW w:type="dxa" w:w="9524"/>
            <w:shd w:val="clear" w:fill="FEF8EC"/>
          </w:tcPr>
          <w:p>
            <w:r/>
            <w:r>
              <w:rPr>
                <w:b/>
                <w:color w:val="E8A317"/>
                <w:sz w:val="20"/>
              </w:rPr>
              <w:t>What the geography does NOT tell us</w:t>
            </w:r>
          </w:p>
          <w:p>
            <w:pPr>
              <w:spacing w:after="60"/>
            </w:pPr>
            <w:r>
              <w:rPr>
                <w:sz w:val="19"/>
              </w:rPr>
              <w:t>It is tempting to read 56% uncovered land as 56% untapped market. It is not. No population, GDP or competitor data was supplied, and land area is a poor proxy for demand — Northern Cape is the largest province in South Africa and the most sparsely populated. The defensible statement is a FOOTPRINT observation: four provinces have no merchant presence. Sizing that as an opportunity needs population and income data the business already holds and this dataset does not carry.</w:t>
            </w:r>
          </w:p>
        </w:tc>
      </w:tr>
    </w:tbl>
    <w:p>
      <w:pPr>
        <w:spacing w:after="80"/>
      </w:pPr>
    </w:p>
    <w:p>
      <w:pPr>
        <w:pStyle w:val="Heading2"/>
      </w:pPr>
      <w:r>
        <w:t>Fraud detection AND prevention</w:t>
      </w:r>
    </w:p>
    <w:p>
      <w:pPr>
        <w:spacing w:after="140" w:before="0"/>
      </w:pPr>
      <w:r>
        <w:rPr>
          <w:b w:val="0"/>
          <w:i w:val="0"/>
          <w:sz w:val="21"/>
        </w:rPr>
        <w:t>Detection is one third of a control framework. A model that spots a loss after it has happened is worth less than a rule that stops it, and both are worth less without a corrective path. The framework below separates the three, and is explicit about which parts this dataset can support today.</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1247"/>
            <w:shd w:val="clear" w:fill="12305B"/>
          </w:tcPr>
          <w:p>
            <w:pPr>
              <w:spacing w:after="40" w:before="40"/>
            </w:pPr>
            <w:r/>
            <w:r>
              <w:rPr>
                <w:b/>
                <w:color w:val="FFFFFF"/>
                <w:sz w:val="16"/>
              </w:rPr>
              <w:t>Layer</w:t>
            </w:r>
          </w:p>
        </w:tc>
        <w:tc>
          <w:tcPr>
            <w:tcW w:type="dxa" w:w="2494"/>
            <w:shd w:val="clear" w:fill="12305B"/>
          </w:tcPr>
          <w:p>
            <w:pPr>
              <w:spacing w:after="40" w:before="40"/>
            </w:pPr>
            <w:r/>
            <w:r>
              <w:rPr>
                <w:b/>
                <w:color w:val="FFFFFF"/>
                <w:sz w:val="16"/>
              </w:rPr>
              <w:t>Control</w:t>
            </w:r>
          </w:p>
        </w:tc>
        <w:tc>
          <w:tcPr>
            <w:tcW w:type="dxa" w:w="1701"/>
            <w:shd w:val="clear" w:fill="12305B"/>
          </w:tcPr>
          <w:p>
            <w:pPr>
              <w:spacing w:after="40" w:before="40"/>
            </w:pPr>
            <w:r/>
            <w:r>
              <w:rPr>
                <w:b/>
                <w:color w:val="FFFFFF"/>
                <w:sz w:val="16"/>
              </w:rPr>
              <w:t>Status</w:t>
            </w:r>
          </w:p>
        </w:tc>
        <w:tc>
          <w:tcPr>
            <w:tcW w:type="dxa" w:w="3969"/>
            <w:shd w:val="clear" w:fill="12305B"/>
          </w:tcPr>
          <w:p>
            <w:pPr>
              <w:spacing w:after="40" w:before="40"/>
            </w:pPr>
            <w:r/>
            <w:r>
              <w:rPr>
                <w:b/>
                <w:color w:val="FFFFFF"/>
                <w:sz w:val="16"/>
              </w:rPr>
              <w:t>Basis or requirement</w:t>
            </w:r>
          </w:p>
        </w:tc>
      </w:tr>
      <w:tr>
        <w:tc>
          <w:tcPr>
            <w:tcW w:type="dxa" w:w="1247"/>
          </w:tcPr>
          <w:p>
            <w:pPr>
              <w:spacing w:after="40" w:before="40"/>
            </w:pPr>
            <w:r/>
            <w:r>
              <w:rPr>
                <w:sz w:val="16"/>
              </w:rPr>
              <w:t>PREVENT</w:t>
            </w:r>
          </w:p>
        </w:tc>
        <w:tc>
          <w:tcPr>
            <w:tcW w:type="dxa" w:w="2494"/>
          </w:tcPr>
          <w:p>
            <w:pPr>
              <w:spacing w:after="40" w:before="40"/>
            </w:pPr>
            <w:r/>
            <w:r>
              <w:rPr>
                <w:sz w:val="16"/>
              </w:rPr>
              <w:t>Voucher expiry enforcement</w:t>
            </w:r>
          </w:p>
        </w:tc>
        <w:tc>
          <w:tcPr>
            <w:tcW w:type="dxa" w:w="1701"/>
          </w:tcPr>
          <w:p>
            <w:pPr>
              <w:spacing w:after="40" w:before="40"/>
            </w:pPr>
            <w:r/>
            <w:r>
              <w:rPr>
                <w:sz w:val="16"/>
              </w:rPr>
              <w:t>Modelled, not enforced</w:t>
            </w:r>
          </w:p>
        </w:tc>
        <w:tc>
          <w:tcPr>
            <w:tcW w:type="dxa" w:w="3969"/>
          </w:tcPr>
          <w:p>
            <w:pPr>
              <w:spacing w:after="40" w:before="40"/>
            </w:pPr>
            <w:r/>
            <w:r>
              <w:rPr>
                <w:sz w:val="16"/>
              </w:rPr>
              <w:t>The 90-day rule exists in the model as breakage; enforcing it at redemption is a system change, not a reporting one</w:t>
            </w:r>
          </w:p>
        </w:tc>
      </w:tr>
      <w:tr>
        <w:tc>
          <w:tcPr>
            <w:tcW w:type="dxa" w:w="1247"/>
            <w:shd w:val="clear" w:fill="F2F6FB"/>
          </w:tcPr>
          <w:p>
            <w:pPr>
              <w:spacing w:after="40" w:before="40"/>
            </w:pPr>
            <w:r/>
            <w:r>
              <w:rPr>
                <w:sz w:val="16"/>
              </w:rPr>
              <w:t>PREVENT</w:t>
            </w:r>
          </w:p>
        </w:tc>
        <w:tc>
          <w:tcPr>
            <w:tcW w:type="dxa" w:w="2494"/>
            <w:shd w:val="clear" w:fill="F2F6FB"/>
          </w:tcPr>
          <w:p>
            <w:pPr>
              <w:spacing w:after="40" w:before="40"/>
            </w:pPr>
            <w:r/>
            <w:r>
              <w:rPr>
                <w:sz w:val="16"/>
              </w:rPr>
              <w:t>Value ceilings per voucher type</w:t>
            </w:r>
          </w:p>
        </w:tc>
        <w:tc>
          <w:tcPr>
            <w:tcW w:type="dxa" w:w="1701"/>
            <w:shd w:val="clear" w:fill="F2F6FB"/>
          </w:tcPr>
          <w:p>
            <w:pPr>
              <w:spacing w:after="40" w:before="40"/>
            </w:pPr>
            <w:r/>
            <w:r>
              <w:rPr>
                <w:sz w:val="16"/>
              </w:rPr>
              <w:t>Recommended</w:t>
            </w:r>
          </w:p>
        </w:tc>
        <w:tc>
          <w:tcPr>
            <w:tcW w:type="dxa" w:w="3969"/>
            <w:shd w:val="clear" w:fill="F2F6FB"/>
          </w:tcPr>
          <w:p>
            <w:pPr>
              <w:spacing w:after="40" w:before="40"/>
            </w:pPr>
            <w:r/>
            <w:r>
              <w:rPr>
                <w:sz w:val="16"/>
              </w:rPr>
              <w:t>Gaming carries 24% non-redemption — the highest exposure per rand issued</w:t>
            </w:r>
          </w:p>
        </w:tc>
      </w:tr>
      <w:tr>
        <w:tc>
          <w:tcPr>
            <w:tcW w:type="dxa" w:w="1247"/>
          </w:tcPr>
          <w:p>
            <w:pPr>
              <w:spacing w:after="40" w:before="40"/>
            </w:pPr>
            <w:r/>
            <w:r>
              <w:rPr>
                <w:sz w:val="16"/>
              </w:rPr>
              <w:t>PREVENT</w:t>
            </w:r>
          </w:p>
        </w:tc>
        <w:tc>
          <w:tcPr>
            <w:tcW w:type="dxa" w:w="2494"/>
          </w:tcPr>
          <w:p>
            <w:pPr>
              <w:spacing w:after="40" w:before="40"/>
            </w:pPr>
            <w:r/>
            <w:r>
              <w:rPr>
                <w:sz w:val="16"/>
              </w:rPr>
              <w:t>Velocity limits per merchant</w:t>
            </w:r>
          </w:p>
        </w:tc>
        <w:tc>
          <w:tcPr>
            <w:tcW w:type="dxa" w:w="1701"/>
          </w:tcPr>
          <w:p>
            <w:pPr>
              <w:spacing w:after="40" w:before="40"/>
            </w:pPr>
            <w:r/>
            <w:r>
              <w:rPr>
                <w:sz w:val="16"/>
              </w:rPr>
              <w:t>Recommended</w:t>
            </w:r>
          </w:p>
        </w:tc>
        <w:tc>
          <w:tcPr>
            <w:tcW w:type="dxa" w:w="3969"/>
          </w:tcPr>
          <w:p>
            <w:pPr>
              <w:spacing w:after="40" w:before="40"/>
            </w:pPr>
            <w:r/>
            <w:r>
              <w:rPr>
                <w:sz w:val="16"/>
              </w:rPr>
              <w:t>Cap redemptions per merchant per hour; the data shows a uniform ~23% same-day rate, so a genuine outlier would stand out</w:t>
            </w:r>
          </w:p>
        </w:tc>
      </w:tr>
      <w:tr>
        <w:tc>
          <w:tcPr>
            <w:tcW w:type="dxa" w:w="1247"/>
            <w:shd w:val="clear" w:fill="F2F6FB"/>
          </w:tcPr>
          <w:p>
            <w:pPr>
              <w:spacing w:after="40" w:before="40"/>
            </w:pPr>
            <w:r/>
            <w:r>
              <w:rPr>
                <w:sz w:val="16"/>
              </w:rPr>
              <w:t>PREVENT</w:t>
            </w:r>
          </w:p>
        </w:tc>
        <w:tc>
          <w:tcPr>
            <w:tcW w:type="dxa" w:w="2494"/>
            <w:shd w:val="clear" w:fill="F2F6FB"/>
          </w:tcPr>
          <w:p>
            <w:pPr>
              <w:spacing w:after="40" w:before="40"/>
            </w:pPr>
            <w:r/>
            <w:r>
              <w:rPr>
                <w:sz w:val="16"/>
              </w:rPr>
              <w:t>Onboarding due diligence</w:t>
            </w:r>
          </w:p>
        </w:tc>
        <w:tc>
          <w:tcPr>
            <w:tcW w:type="dxa" w:w="1701"/>
            <w:shd w:val="clear" w:fill="F2F6FB"/>
          </w:tcPr>
          <w:p>
            <w:pPr>
              <w:spacing w:after="40" w:before="40"/>
            </w:pPr>
            <w:r/>
            <w:r>
              <w:rPr>
                <w:sz w:val="16"/>
              </w:rPr>
              <w:t>Gap</w:t>
            </w:r>
          </w:p>
        </w:tc>
        <w:tc>
          <w:tcPr>
            <w:tcW w:type="dxa" w:w="3969"/>
            <w:shd w:val="clear" w:fill="F2F6FB"/>
          </w:tcPr>
          <w:p>
            <w:pPr>
              <w:spacing w:after="40" w:before="40"/>
            </w:pPr>
            <w:r/>
            <w:r>
              <w:rPr>
                <w:sz w:val="16"/>
              </w:rPr>
              <w:t>Two merchants are flagged 'At Risk' in the CRM with no linked control action</w:t>
            </w:r>
          </w:p>
        </w:tc>
      </w:tr>
      <w:tr>
        <w:tc>
          <w:tcPr>
            <w:tcW w:type="dxa" w:w="1247"/>
          </w:tcPr>
          <w:p>
            <w:pPr>
              <w:spacing w:after="40" w:before="40"/>
            </w:pPr>
            <w:r/>
            <w:r>
              <w:rPr>
                <w:sz w:val="16"/>
              </w:rPr>
              <w:t>PREVENT</w:t>
            </w:r>
          </w:p>
        </w:tc>
        <w:tc>
          <w:tcPr>
            <w:tcW w:type="dxa" w:w="2494"/>
          </w:tcPr>
          <w:p>
            <w:pPr>
              <w:spacing w:after="40" w:before="40"/>
            </w:pPr>
            <w:r/>
            <w:r>
              <w:rPr>
                <w:sz w:val="16"/>
              </w:rPr>
              <w:t>Segregation of duties</w:t>
            </w:r>
          </w:p>
        </w:tc>
        <w:tc>
          <w:tcPr>
            <w:tcW w:type="dxa" w:w="1701"/>
          </w:tcPr>
          <w:p>
            <w:pPr>
              <w:spacing w:after="40" w:before="40"/>
            </w:pPr>
            <w:r/>
            <w:r>
              <w:rPr>
                <w:sz w:val="16"/>
              </w:rPr>
              <w:t>Recommended</w:t>
            </w:r>
          </w:p>
        </w:tc>
        <w:tc>
          <w:tcPr>
            <w:tcW w:type="dxa" w:w="3969"/>
          </w:tcPr>
          <w:p>
            <w:pPr>
              <w:spacing w:after="40" w:before="40"/>
            </w:pPr>
            <w:r/>
            <w:r>
              <w:rPr>
                <w:sz w:val="16"/>
              </w:rPr>
              <w:t>Issuance and redemption approval should not share an owner</w:t>
            </w:r>
          </w:p>
        </w:tc>
      </w:tr>
      <w:tr>
        <w:tc>
          <w:tcPr>
            <w:tcW w:type="dxa" w:w="1247"/>
            <w:shd w:val="clear" w:fill="F2F6FB"/>
          </w:tcPr>
          <w:p>
            <w:pPr>
              <w:spacing w:after="40" w:before="40"/>
            </w:pPr>
            <w:r/>
            <w:r>
              <w:rPr>
                <w:sz w:val="16"/>
              </w:rPr>
              <w:t>DETECT</w:t>
            </w:r>
          </w:p>
        </w:tc>
        <w:tc>
          <w:tcPr>
            <w:tcW w:type="dxa" w:w="2494"/>
            <w:shd w:val="clear" w:fill="F2F6FB"/>
          </w:tcPr>
          <w:p>
            <w:pPr>
              <w:spacing w:after="40" w:before="40"/>
            </w:pPr>
            <w:r/>
            <w:r>
              <w:rPr>
                <w:sz w:val="16"/>
              </w:rPr>
              <w:t>Reversal rate per 1,000 transactions</w:t>
            </w:r>
          </w:p>
        </w:tc>
        <w:tc>
          <w:tcPr>
            <w:tcW w:type="dxa" w:w="1701"/>
            <w:shd w:val="clear" w:fill="F2F6FB"/>
          </w:tcPr>
          <w:p>
            <w:pPr>
              <w:spacing w:after="40" w:before="40"/>
            </w:pPr>
            <w:r/>
            <w:r>
              <w:rPr>
                <w:sz w:val="16"/>
              </w:rPr>
              <w:t>BUILT</w:t>
            </w:r>
          </w:p>
        </w:tc>
        <w:tc>
          <w:tcPr>
            <w:tcW w:type="dxa" w:w="3969"/>
            <w:shd w:val="clear" w:fill="F2F6FB"/>
          </w:tcPr>
          <w:p>
            <w:pPr>
              <w:spacing w:after="40" w:before="40"/>
            </w:pPr>
            <w:r/>
            <w:r>
              <w:rPr>
                <w:sz w:val="16"/>
              </w:rPr>
              <w:t>215 reversal tickets; per-merchant range 0.00 to 1.99 per 1k</w:t>
            </w:r>
          </w:p>
        </w:tc>
      </w:tr>
      <w:tr>
        <w:tc>
          <w:tcPr>
            <w:tcW w:type="dxa" w:w="1247"/>
          </w:tcPr>
          <w:p>
            <w:pPr>
              <w:spacing w:after="40" w:before="40"/>
            </w:pPr>
            <w:r/>
            <w:r>
              <w:rPr>
                <w:sz w:val="16"/>
              </w:rPr>
              <w:t>DETECT</w:t>
            </w:r>
          </w:p>
        </w:tc>
        <w:tc>
          <w:tcPr>
            <w:tcW w:type="dxa" w:w="2494"/>
          </w:tcPr>
          <w:p>
            <w:pPr>
              <w:spacing w:after="40" w:before="40"/>
            </w:pPr>
            <w:r/>
            <w:r>
              <w:rPr>
                <w:sz w:val="16"/>
              </w:rPr>
              <w:t>Redemption velocity</w:t>
            </w:r>
          </w:p>
        </w:tc>
        <w:tc>
          <w:tcPr>
            <w:tcW w:type="dxa" w:w="1701"/>
          </w:tcPr>
          <w:p>
            <w:pPr>
              <w:spacing w:after="40" w:before="40"/>
            </w:pPr>
            <w:r/>
            <w:r>
              <w:rPr>
                <w:sz w:val="16"/>
              </w:rPr>
              <w:t>BUILT</w:t>
            </w:r>
          </w:p>
        </w:tc>
        <w:tc>
          <w:tcPr>
            <w:tcW w:type="dxa" w:w="3969"/>
          </w:tcPr>
          <w:p>
            <w:pPr>
              <w:spacing w:after="40" w:before="40"/>
            </w:pPr>
            <w:r/>
            <w:r>
              <w:rPr>
                <w:sz w:val="16"/>
              </w:rPr>
              <w:t>Same-day redemption share per merchant</w:t>
            </w:r>
          </w:p>
        </w:tc>
      </w:tr>
      <w:tr>
        <w:tc>
          <w:tcPr>
            <w:tcW w:type="dxa" w:w="1247"/>
            <w:shd w:val="clear" w:fill="F2F6FB"/>
          </w:tcPr>
          <w:p>
            <w:pPr>
              <w:spacing w:after="40" w:before="40"/>
            </w:pPr>
            <w:r/>
            <w:r>
              <w:rPr>
                <w:sz w:val="16"/>
              </w:rPr>
              <w:t>DETECT</w:t>
            </w:r>
          </w:p>
        </w:tc>
        <w:tc>
          <w:tcPr>
            <w:tcW w:type="dxa" w:w="2494"/>
            <w:shd w:val="clear" w:fill="F2F6FB"/>
          </w:tcPr>
          <w:p>
            <w:pPr>
              <w:spacing w:after="40" w:before="40"/>
            </w:pPr>
            <w:r/>
            <w:r>
              <w:rPr>
                <w:sz w:val="16"/>
              </w:rPr>
              <w:t>Behavioural anomaly</w:t>
            </w:r>
          </w:p>
        </w:tc>
        <w:tc>
          <w:tcPr>
            <w:tcW w:type="dxa" w:w="1701"/>
            <w:shd w:val="clear" w:fill="F2F6FB"/>
          </w:tcPr>
          <w:p>
            <w:pPr>
              <w:spacing w:after="40" w:before="40"/>
            </w:pPr>
            <w:r/>
            <w:r>
              <w:rPr>
                <w:sz w:val="16"/>
              </w:rPr>
              <w:t>BUILT</w:t>
            </w:r>
          </w:p>
        </w:tc>
        <w:tc>
          <w:tcPr>
            <w:tcW w:type="dxa" w:w="3969"/>
            <w:shd w:val="clear" w:fill="F2F6FB"/>
          </w:tcPr>
          <w:p>
            <w:pPr>
              <w:spacing w:after="40" w:before="40"/>
            </w:pPr>
            <w:r/>
            <w:r>
              <w:rPr>
                <w:sz w:val="16"/>
              </w:rPr>
              <w:t>Isolation Forest on merchant-month deviation from own history</w:t>
            </w:r>
          </w:p>
        </w:tc>
      </w:tr>
      <w:tr>
        <w:tc>
          <w:tcPr>
            <w:tcW w:type="dxa" w:w="1247"/>
          </w:tcPr>
          <w:p>
            <w:pPr>
              <w:spacing w:after="40" w:before="40"/>
            </w:pPr>
            <w:r/>
            <w:r>
              <w:rPr>
                <w:sz w:val="16"/>
              </w:rPr>
              <w:t>DETECT</w:t>
            </w:r>
          </w:p>
        </w:tc>
        <w:tc>
          <w:tcPr>
            <w:tcW w:type="dxa" w:w="2494"/>
          </w:tcPr>
          <w:p>
            <w:pPr>
              <w:spacing w:after="40" w:before="40"/>
            </w:pPr>
            <w:r/>
            <w:r>
              <w:rPr>
                <w:sz w:val="16"/>
              </w:rPr>
              <w:t>Liability concentration</w:t>
            </w:r>
          </w:p>
        </w:tc>
        <w:tc>
          <w:tcPr>
            <w:tcW w:type="dxa" w:w="1701"/>
          </w:tcPr>
          <w:p>
            <w:pPr>
              <w:spacing w:after="40" w:before="40"/>
            </w:pPr>
            <w:r/>
            <w:r>
              <w:rPr>
                <w:sz w:val="16"/>
              </w:rPr>
              <w:t>BUILT</w:t>
            </w:r>
          </w:p>
        </w:tc>
        <w:tc>
          <w:tcPr>
            <w:tcW w:type="dxa" w:w="3969"/>
          </w:tcPr>
          <w:p>
            <w:pPr>
              <w:spacing w:after="40" w:before="40"/>
            </w:pPr>
            <w:r/>
            <w:r>
              <w:rPr>
                <w:sz w:val="16"/>
              </w:rPr>
              <w:t>R3,541,563 outstanding, tracked per merchant</w:t>
            </w:r>
          </w:p>
        </w:tc>
      </w:tr>
      <w:tr>
        <w:tc>
          <w:tcPr>
            <w:tcW w:type="dxa" w:w="1247"/>
            <w:shd w:val="clear" w:fill="F2F6FB"/>
          </w:tcPr>
          <w:p>
            <w:pPr>
              <w:spacing w:after="40" w:before="40"/>
            </w:pPr>
            <w:r/>
            <w:r>
              <w:rPr>
                <w:sz w:val="16"/>
              </w:rPr>
              <w:t>DETECT</w:t>
            </w:r>
          </w:p>
        </w:tc>
        <w:tc>
          <w:tcPr>
            <w:tcW w:type="dxa" w:w="2494"/>
            <w:shd w:val="clear" w:fill="F2F6FB"/>
          </w:tcPr>
          <w:p>
            <w:pPr>
              <w:spacing w:after="40" w:before="40"/>
            </w:pPr>
            <w:r/>
            <w:r>
              <w:rPr>
                <w:sz w:val="16"/>
              </w:rPr>
              <w:t>Voucher value outliers</w:t>
            </w:r>
          </w:p>
        </w:tc>
        <w:tc>
          <w:tcPr>
            <w:tcW w:type="dxa" w:w="1701"/>
            <w:shd w:val="clear" w:fill="F2F6FB"/>
          </w:tcPr>
          <w:p>
            <w:pPr>
              <w:spacing w:after="40" w:before="40"/>
            </w:pPr>
            <w:r/>
            <w:r>
              <w:rPr>
                <w:sz w:val="16"/>
              </w:rPr>
              <w:t>BUILT — returns zero</w:t>
            </w:r>
          </w:p>
        </w:tc>
        <w:tc>
          <w:tcPr>
            <w:tcW w:type="dxa" w:w="3969"/>
            <w:shd w:val="clear" w:fill="F2F6FB"/>
          </w:tcPr>
          <w:p>
            <w:pPr>
              <w:spacing w:after="40" w:before="40"/>
            </w:pPr>
            <w:r/>
            <w:r>
              <w:rPr>
                <w:sz w:val="16"/>
              </w:rPr>
              <w:t>Implemented and evaluated: no voucher sits beyond 3 SD within its type</w:t>
            </w:r>
          </w:p>
        </w:tc>
      </w:tr>
      <w:tr>
        <w:tc>
          <w:tcPr>
            <w:tcW w:type="dxa" w:w="1247"/>
          </w:tcPr>
          <w:p>
            <w:pPr>
              <w:spacing w:after="40" w:before="40"/>
            </w:pPr>
            <w:r/>
            <w:r>
              <w:rPr>
                <w:sz w:val="16"/>
              </w:rPr>
              <w:t>CORRECT</w:t>
            </w:r>
          </w:p>
        </w:tc>
        <w:tc>
          <w:tcPr>
            <w:tcW w:type="dxa" w:w="2494"/>
          </w:tcPr>
          <w:p>
            <w:pPr>
              <w:spacing w:after="40" w:before="40"/>
            </w:pPr>
            <w:r/>
            <w:r>
              <w:rPr>
                <w:sz w:val="16"/>
              </w:rPr>
              <w:t>Quarantine on quality failure</w:t>
            </w:r>
          </w:p>
        </w:tc>
        <w:tc>
          <w:tcPr>
            <w:tcW w:type="dxa" w:w="1701"/>
          </w:tcPr>
          <w:p>
            <w:pPr>
              <w:spacing w:after="40" w:before="40"/>
            </w:pPr>
            <w:r/>
            <w:r>
              <w:rPr>
                <w:sz w:val="16"/>
              </w:rPr>
              <w:t>BUILT</w:t>
            </w:r>
          </w:p>
        </w:tc>
        <w:tc>
          <w:tcPr>
            <w:tcW w:type="dxa" w:w="3969"/>
          </w:tcPr>
          <w:p>
            <w:pPr>
              <w:spacing w:after="40" w:before="40"/>
            </w:pPr>
            <w:r/>
            <w:r>
              <w:rPr>
                <w:sz w:val="16"/>
              </w:rPr>
              <w:t>The dbt gate between silver and gold; bad loads never reach the report</w:t>
            </w:r>
          </w:p>
        </w:tc>
      </w:tr>
      <w:tr>
        <w:tc>
          <w:tcPr>
            <w:tcW w:type="dxa" w:w="1247"/>
            <w:shd w:val="clear" w:fill="F2F6FB"/>
          </w:tcPr>
          <w:p>
            <w:pPr>
              <w:spacing w:after="40" w:before="40"/>
            </w:pPr>
            <w:r/>
            <w:r>
              <w:rPr>
                <w:sz w:val="16"/>
              </w:rPr>
              <w:t>CORRECT</w:t>
            </w:r>
          </w:p>
        </w:tc>
        <w:tc>
          <w:tcPr>
            <w:tcW w:type="dxa" w:w="2494"/>
            <w:shd w:val="clear" w:fill="F2F6FB"/>
          </w:tcPr>
          <w:p>
            <w:pPr>
              <w:spacing w:after="40" w:before="40"/>
            </w:pPr>
            <w:r/>
            <w:r>
              <w:rPr>
                <w:sz w:val="16"/>
              </w:rPr>
              <w:t>Change alerting</w:t>
            </w:r>
          </w:p>
        </w:tc>
        <w:tc>
          <w:tcPr>
            <w:tcW w:type="dxa" w:w="1701"/>
            <w:shd w:val="clear" w:fill="F2F6FB"/>
          </w:tcPr>
          <w:p>
            <w:pPr>
              <w:spacing w:after="40" w:before="40"/>
            </w:pPr>
            <w:r/>
            <w:r>
              <w:rPr>
                <w:sz w:val="16"/>
              </w:rPr>
              <w:t>BUILT</w:t>
            </w:r>
          </w:p>
        </w:tc>
        <w:tc>
          <w:tcPr>
            <w:tcW w:type="dxa" w:w="3969"/>
            <w:shd w:val="clear" w:fill="F2F6FB"/>
          </w:tcPr>
          <w:p>
            <w:pPr>
              <w:spacing w:after="40" w:before="40"/>
            </w:pPr>
            <w:r/>
            <w:r>
              <w:rPr>
                <w:sz w:val="16"/>
              </w:rPr>
              <w:t>mart_merchant_change_alerts raises a status or target change as Critical</w:t>
            </w:r>
          </w:p>
        </w:tc>
      </w:tr>
      <w:tr>
        <w:tc>
          <w:tcPr>
            <w:tcW w:type="dxa" w:w="1247"/>
          </w:tcPr>
          <w:p>
            <w:pPr>
              <w:spacing w:after="40" w:before="40"/>
            </w:pPr>
            <w:r/>
            <w:r>
              <w:rPr>
                <w:sz w:val="16"/>
              </w:rPr>
              <w:t>CORRECT</w:t>
            </w:r>
          </w:p>
        </w:tc>
        <w:tc>
          <w:tcPr>
            <w:tcW w:type="dxa" w:w="2494"/>
          </w:tcPr>
          <w:p>
            <w:pPr>
              <w:spacing w:after="40" w:before="40"/>
            </w:pPr>
            <w:r/>
            <w:r>
              <w:rPr>
                <w:sz w:val="16"/>
              </w:rPr>
              <w:t>Reversal workflow routing</w:t>
            </w:r>
          </w:p>
        </w:tc>
        <w:tc>
          <w:tcPr>
            <w:tcW w:type="dxa" w:w="1701"/>
          </w:tcPr>
          <w:p>
            <w:pPr>
              <w:spacing w:after="40" w:before="40"/>
            </w:pPr>
            <w:r/>
            <w:r>
              <w:rPr>
                <w:sz w:val="16"/>
              </w:rPr>
              <w:t>Recommended</w:t>
            </w:r>
          </w:p>
        </w:tc>
        <w:tc>
          <w:tcPr>
            <w:tcW w:type="dxa" w:w="3969"/>
          </w:tcPr>
          <w:p>
            <w:pPr>
              <w:spacing w:after="40" w:before="40"/>
            </w:pPr>
            <w:r/>
            <w:r>
              <w:rPr>
                <w:sz w:val="16"/>
              </w:rPr>
              <w:t>Financial tickets are 25% of volume and should route separately from commercial ones</w:t>
            </w:r>
          </w:p>
        </w:tc>
      </w:tr>
      <w:tr>
        <w:tc>
          <w:tcPr>
            <w:tcW w:type="dxa" w:w="1247"/>
            <w:shd w:val="clear" w:fill="F2F6FB"/>
          </w:tcPr>
          <w:p>
            <w:pPr>
              <w:spacing w:after="40" w:before="40"/>
            </w:pPr>
            <w:r/>
            <w:r>
              <w:rPr>
                <w:sz w:val="16"/>
              </w:rPr>
              <w:t>CORRECT</w:t>
            </w:r>
          </w:p>
        </w:tc>
        <w:tc>
          <w:tcPr>
            <w:tcW w:type="dxa" w:w="2494"/>
            <w:shd w:val="clear" w:fill="F2F6FB"/>
          </w:tcPr>
          <w:p>
            <w:pPr>
              <w:spacing w:after="40" w:before="40"/>
            </w:pPr>
            <w:r/>
            <w:r>
              <w:rPr>
                <w:sz w:val="16"/>
              </w:rPr>
              <w:t>Merchant suspension path</w:t>
            </w:r>
          </w:p>
        </w:tc>
        <w:tc>
          <w:tcPr>
            <w:tcW w:type="dxa" w:w="1701"/>
            <w:shd w:val="clear" w:fill="F2F6FB"/>
          </w:tcPr>
          <w:p>
            <w:pPr>
              <w:spacing w:after="40" w:before="40"/>
            </w:pPr>
            <w:r/>
            <w:r>
              <w:rPr>
                <w:sz w:val="16"/>
              </w:rPr>
              <w:t>Gap</w:t>
            </w:r>
          </w:p>
        </w:tc>
        <w:tc>
          <w:tcPr>
            <w:tcW w:type="dxa" w:w="3969"/>
            <w:shd w:val="clear" w:fill="F2F6FB"/>
          </w:tcPr>
          <w:p>
            <w:pPr>
              <w:spacing w:after="40" w:before="40"/>
            </w:pPr>
            <w:r/>
            <w:r>
              <w:rPr>
                <w:sz w:val="16"/>
              </w:rPr>
              <w:t>A 'Review' risk band should trigger a hold, not an email</w:t>
            </w:r>
          </w:p>
        </w:tc>
      </w:tr>
      <w:tr>
        <w:tc>
          <w:tcPr>
            <w:tcW w:type="dxa" w:w="1247"/>
          </w:tcPr>
          <w:p>
            <w:pPr>
              <w:spacing w:after="40" w:before="40"/>
            </w:pPr>
            <w:r/>
            <w:r>
              <w:rPr>
                <w:sz w:val="16"/>
              </w:rPr>
              <w:t>CORRECT</w:t>
            </w:r>
          </w:p>
        </w:tc>
        <w:tc>
          <w:tcPr>
            <w:tcW w:type="dxa" w:w="2494"/>
          </w:tcPr>
          <w:p>
            <w:pPr>
              <w:spacing w:after="40" w:before="40"/>
            </w:pPr>
            <w:r/>
            <w:r>
              <w:rPr>
                <w:sz w:val="16"/>
              </w:rPr>
              <w:t>Audit trail</w:t>
            </w:r>
          </w:p>
        </w:tc>
        <w:tc>
          <w:tcPr>
            <w:tcW w:type="dxa" w:w="1701"/>
          </w:tcPr>
          <w:p>
            <w:pPr>
              <w:spacing w:after="40" w:before="40"/>
            </w:pPr>
            <w:r/>
            <w:r>
              <w:rPr>
                <w:sz w:val="16"/>
              </w:rPr>
              <w:t>BUILT</w:t>
            </w:r>
          </w:p>
        </w:tc>
        <w:tc>
          <w:tcPr>
            <w:tcW w:type="dxa" w:w="3969"/>
          </w:tcPr>
          <w:p>
            <w:pPr>
              <w:spacing w:after="40" w:before="40"/>
            </w:pPr>
            <w:r/>
            <w:r>
              <w:rPr>
                <w:sz w:val="16"/>
              </w:rPr>
              <w:t>batch_id on every row answers 'which load produced this figure' during an incident</w:t>
            </w:r>
          </w:p>
        </w:tc>
      </w:tr>
    </w:tbl>
    <w:p>
      <w:pPr>
        <w:spacing w:after="80"/>
      </w:pPr>
    </w:p>
    <w:p>
      <w:pPr>
        <w:pStyle w:val="Heading2"/>
      </w:pPr>
      <w:r>
        <w:t>Fraud controls — what the data supports, tested not assumed</w:t>
      </w:r>
    </w:p>
    <w:tbl>
      <w:tblPr>
        <w:tblStyle w:val="TableGrid"/>
        <w:tblW w:type="auto" w:w="0"/>
        <w:jc w:val="center"/>
        <w:tblLook w:firstColumn="1" w:firstRow="1" w:lastColumn="0" w:lastRow="0" w:noHBand="0" w:noVBand="1" w:val="04A0"/>
      </w:tblPr>
      <w:tblGrid>
        <w:gridCol w:w="3175"/>
        <w:gridCol w:w="3175"/>
        <w:gridCol w:w="3175"/>
      </w:tblGrid>
      <w:tr>
        <w:tc>
          <w:tcPr>
            <w:tcW w:type="dxa" w:w="2268"/>
            <w:shd w:val="clear" w:fill="12305B"/>
          </w:tcPr>
          <w:p>
            <w:pPr>
              <w:spacing w:after="40" w:before="40"/>
            </w:pPr>
            <w:r/>
            <w:r>
              <w:rPr>
                <w:b/>
                <w:color w:val="FFFFFF"/>
                <w:sz w:val="17"/>
              </w:rPr>
              <w:t>Control</w:t>
            </w:r>
          </w:p>
        </w:tc>
        <w:tc>
          <w:tcPr>
            <w:tcW w:type="dxa" w:w="1474"/>
            <w:shd w:val="clear" w:fill="12305B"/>
          </w:tcPr>
          <w:p>
            <w:pPr>
              <w:spacing w:after="40" w:before="40"/>
            </w:pPr>
            <w:r/>
            <w:r>
              <w:rPr>
                <w:b/>
                <w:color w:val="FFFFFF"/>
                <w:sz w:val="17"/>
              </w:rPr>
              <w:t>Status</w:t>
            </w:r>
          </w:p>
        </w:tc>
        <w:tc>
          <w:tcPr>
            <w:tcW w:type="dxa" w:w="5669"/>
            <w:shd w:val="clear" w:fill="12305B"/>
          </w:tcPr>
          <w:p>
            <w:pPr>
              <w:spacing w:after="40" w:before="40"/>
            </w:pPr>
            <w:r/>
            <w:r>
              <w:rPr>
                <w:b/>
                <w:color w:val="FFFFFF"/>
                <w:sz w:val="17"/>
              </w:rPr>
              <w:t>Basis</w:t>
            </w:r>
          </w:p>
        </w:tc>
      </w:tr>
      <w:tr>
        <w:tc>
          <w:tcPr>
            <w:tcW w:type="dxa" w:w="2268"/>
          </w:tcPr>
          <w:p>
            <w:pPr>
              <w:spacing w:after="40" w:before="40"/>
            </w:pPr>
            <w:r/>
            <w:r>
              <w:rPr>
                <w:sz w:val="17"/>
              </w:rPr>
              <w:t>Reversal ticket rate</w:t>
            </w:r>
          </w:p>
        </w:tc>
        <w:tc>
          <w:tcPr>
            <w:tcW w:type="dxa" w:w="1474"/>
          </w:tcPr>
          <w:p>
            <w:pPr>
              <w:spacing w:after="40" w:before="40"/>
            </w:pPr>
            <w:r/>
            <w:r>
              <w:rPr>
                <w:sz w:val="17"/>
              </w:rPr>
              <w:t>SUPPORTED</w:t>
            </w:r>
          </w:p>
        </w:tc>
        <w:tc>
          <w:tcPr>
            <w:tcW w:type="dxa" w:w="5669"/>
          </w:tcPr>
          <w:p>
            <w:pPr>
              <w:spacing w:after="40" w:before="40"/>
            </w:pPr>
            <w:r/>
            <w:r>
              <w:rPr>
                <w:sz w:val="17"/>
              </w:rPr>
              <w:t>Reversal Query tickets per 1k transactions. Reversals are where value moves back.</w:t>
            </w:r>
          </w:p>
        </w:tc>
      </w:tr>
      <w:tr>
        <w:tc>
          <w:tcPr>
            <w:tcW w:type="dxa" w:w="2268"/>
            <w:shd w:val="clear" w:fill="F2F6FB"/>
          </w:tcPr>
          <w:p>
            <w:pPr>
              <w:spacing w:after="40" w:before="40"/>
            </w:pPr>
            <w:r/>
            <w:r>
              <w:rPr>
                <w:sz w:val="17"/>
              </w:rPr>
              <w:t>Redemption velocity</w:t>
            </w:r>
          </w:p>
        </w:tc>
        <w:tc>
          <w:tcPr>
            <w:tcW w:type="dxa" w:w="1474"/>
            <w:shd w:val="clear" w:fill="F2F6FB"/>
          </w:tcPr>
          <w:p>
            <w:pPr>
              <w:spacing w:after="40" w:before="40"/>
            </w:pPr>
            <w:r/>
            <w:r>
              <w:rPr>
                <w:sz w:val="17"/>
              </w:rPr>
              <w:t>SUPPORTED</w:t>
            </w:r>
          </w:p>
        </w:tc>
        <w:tc>
          <w:tcPr>
            <w:tcW w:type="dxa" w:w="5669"/>
            <w:shd w:val="clear" w:fill="F2F6FB"/>
          </w:tcPr>
          <w:p>
            <w:pPr>
              <w:spacing w:after="40" w:before="40"/>
            </w:pPr>
            <w:r/>
            <w:r>
              <w:rPr>
                <w:sz w:val="17"/>
              </w:rPr>
              <w:t>Same-day redemption share. Legitimate for airtime, unusual in bulk.</w:t>
            </w:r>
          </w:p>
        </w:tc>
      </w:tr>
      <w:tr>
        <w:tc>
          <w:tcPr>
            <w:tcW w:type="dxa" w:w="2268"/>
          </w:tcPr>
          <w:p>
            <w:pPr>
              <w:spacing w:after="40" w:before="40"/>
            </w:pPr>
            <w:r/>
            <w:r>
              <w:rPr>
                <w:sz w:val="17"/>
              </w:rPr>
              <w:t>Liability concentration</w:t>
            </w:r>
          </w:p>
        </w:tc>
        <w:tc>
          <w:tcPr>
            <w:tcW w:type="dxa" w:w="1474"/>
          </w:tcPr>
          <w:p>
            <w:pPr>
              <w:spacing w:after="40" w:before="40"/>
            </w:pPr>
            <w:r/>
            <w:r>
              <w:rPr>
                <w:sz w:val="17"/>
              </w:rPr>
              <w:t>SUPPORTED</w:t>
            </w:r>
          </w:p>
        </w:tc>
        <w:tc>
          <w:tcPr>
            <w:tcW w:type="dxa" w:w="5669"/>
          </w:tcPr>
          <w:p>
            <w:pPr>
              <w:spacing w:after="40" w:before="40"/>
            </w:pPr>
            <w:r/>
            <w:r>
              <w:rPr>
                <w:sz w:val="17"/>
              </w:rPr>
              <w:t>Unredeemed value sitting with one merchant.</w:t>
            </w:r>
          </w:p>
        </w:tc>
      </w:tr>
      <w:tr>
        <w:tc>
          <w:tcPr>
            <w:tcW w:type="dxa" w:w="2268"/>
            <w:shd w:val="clear" w:fill="F2F6FB"/>
          </w:tcPr>
          <w:p>
            <w:pPr>
              <w:spacing w:after="40" w:before="40"/>
            </w:pPr>
            <w:r/>
            <w:r>
              <w:rPr>
                <w:sz w:val="17"/>
              </w:rPr>
              <w:t>Behavioural anomaly</w:t>
            </w:r>
          </w:p>
        </w:tc>
        <w:tc>
          <w:tcPr>
            <w:tcW w:type="dxa" w:w="1474"/>
            <w:shd w:val="clear" w:fill="F2F6FB"/>
          </w:tcPr>
          <w:p>
            <w:pPr>
              <w:spacing w:after="40" w:before="40"/>
            </w:pPr>
            <w:r/>
            <w:r>
              <w:rPr>
                <w:sz w:val="17"/>
              </w:rPr>
              <w:t>SUPPORTED</w:t>
            </w:r>
          </w:p>
        </w:tc>
        <w:tc>
          <w:tcPr>
            <w:tcW w:type="dxa" w:w="5669"/>
            <w:shd w:val="clear" w:fill="F2F6FB"/>
          </w:tcPr>
          <w:p>
            <w:pPr>
              <w:spacing w:after="40" w:before="40"/>
            </w:pPr>
            <w:r/>
            <w:r>
              <w:rPr>
                <w:sz w:val="17"/>
              </w:rPr>
              <w:t>Isolation Forest — multivariate shift against a merchant's own history.</w:t>
            </w:r>
          </w:p>
        </w:tc>
      </w:tr>
      <w:tr>
        <w:tc>
          <w:tcPr>
            <w:tcW w:type="dxa" w:w="2268"/>
          </w:tcPr>
          <w:p>
            <w:pPr>
              <w:spacing w:after="40" w:before="40"/>
            </w:pPr>
            <w:r/>
            <w:r>
              <w:rPr>
                <w:sz w:val="17"/>
              </w:rPr>
              <w:t>Voucher value outliers</w:t>
            </w:r>
          </w:p>
        </w:tc>
        <w:tc>
          <w:tcPr>
            <w:tcW w:type="dxa" w:w="1474"/>
          </w:tcPr>
          <w:p>
            <w:pPr>
              <w:spacing w:after="40" w:before="40"/>
            </w:pPr>
            <w:r/>
            <w:r>
              <w:rPr>
                <w:sz w:val="17"/>
              </w:rPr>
              <w:t>TESTED — NIL</w:t>
            </w:r>
          </w:p>
        </w:tc>
        <w:tc>
          <w:tcPr>
            <w:tcW w:type="dxa" w:w="5669"/>
          </w:tcPr>
          <w:p>
            <w:pPr>
              <w:spacing w:after="40" w:before="40"/>
            </w:pPr>
            <w:r/>
            <w:r>
              <w:rPr>
                <w:sz w:val="17"/>
              </w:rPr>
              <w:t>Implemented and evaluated: ZERO vouchers beyond 3 SD within type, because the generator used a bounded distribution. The control runs and correctly returns zero rather than being quietly omitted.</w:t>
            </w:r>
          </w:p>
        </w:tc>
      </w:tr>
      <w:tr>
        <w:tc>
          <w:tcPr>
            <w:tcW w:type="dxa" w:w="2268"/>
            <w:shd w:val="clear" w:fill="F2F6FB"/>
          </w:tcPr>
          <w:p>
            <w:pPr>
              <w:spacing w:after="40" w:before="40"/>
            </w:pPr>
            <w:r/>
            <w:r>
              <w:rPr>
                <w:sz w:val="17"/>
              </w:rPr>
              <w:t>Duplicate redemption</w:t>
            </w:r>
          </w:p>
        </w:tc>
        <w:tc>
          <w:tcPr>
            <w:tcW w:type="dxa" w:w="1474"/>
            <w:shd w:val="clear" w:fill="F2F6FB"/>
          </w:tcPr>
          <w:p>
            <w:pPr>
              <w:spacing w:after="40" w:before="40"/>
            </w:pPr>
            <w:r/>
            <w:r>
              <w:rPr>
                <w:sz w:val="17"/>
              </w:rPr>
              <w:t>NOT SUPPORTED</w:t>
            </w:r>
          </w:p>
        </w:tc>
        <w:tc>
          <w:tcPr>
            <w:tcW w:type="dxa" w:w="5669"/>
            <w:shd w:val="clear" w:fill="F2F6FB"/>
          </w:tcPr>
          <w:p>
            <w:pPr>
              <w:spacing w:after="40" w:before="40"/>
            </w:pPr>
            <w:r/>
            <w:r>
              <w:rPr>
                <w:sz w:val="17"/>
              </w:rPr>
              <w:t>voucher_id is unique by construction in the extract, so a duplicate cannot appear. Needs a raw redemption event log with repeated attempts.</w:t>
            </w:r>
          </w:p>
        </w:tc>
      </w:tr>
      <w:tr>
        <w:tc>
          <w:tcPr>
            <w:tcW w:type="dxa" w:w="2268"/>
          </w:tcPr>
          <w:p>
            <w:pPr>
              <w:spacing w:after="40" w:before="40"/>
            </w:pPr>
            <w:r/>
            <w:r>
              <w:rPr>
                <w:sz w:val="17"/>
              </w:rPr>
              <w:t>Geographic anomaly</w:t>
            </w:r>
          </w:p>
        </w:tc>
        <w:tc>
          <w:tcPr>
            <w:tcW w:type="dxa" w:w="1474"/>
          </w:tcPr>
          <w:p>
            <w:pPr>
              <w:spacing w:after="40" w:before="40"/>
            </w:pPr>
            <w:r/>
            <w:r>
              <w:rPr>
                <w:sz w:val="17"/>
              </w:rPr>
              <w:t>NOT SUPPORTED</w:t>
            </w:r>
          </w:p>
        </w:tc>
        <w:tc>
          <w:tcPr>
            <w:tcW w:type="dxa" w:w="5669"/>
          </w:tcPr>
          <w:p>
            <w:pPr>
              <w:spacing w:after="40" w:before="40"/>
            </w:pPr>
            <w:r/>
            <w:r>
              <w:rPr>
                <w:sz w:val="17"/>
              </w:rPr>
              <w:t>Needs merchant location, transaction location and timestamp. Only static province at merchant level is supplied.</w:t>
            </w:r>
          </w:p>
        </w:tc>
      </w:tr>
      <w:tr>
        <w:tc>
          <w:tcPr>
            <w:tcW w:type="dxa" w:w="2268"/>
            <w:shd w:val="clear" w:fill="F2F6FB"/>
          </w:tcPr>
          <w:p>
            <w:pPr>
              <w:spacing w:after="40" w:before="40"/>
            </w:pPr>
            <w:r/>
            <w:r>
              <w:rPr>
                <w:sz w:val="17"/>
              </w:rPr>
              <w:t>PIN / invalid voucher use</w:t>
            </w:r>
          </w:p>
        </w:tc>
        <w:tc>
          <w:tcPr>
            <w:tcW w:type="dxa" w:w="1474"/>
            <w:shd w:val="clear" w:fill="F2F6FB"/>
          </w:tcPr>
          <w:p>
            <w:pPr>
              <w:spacing w:after="40" w:before="40"/>
            </w:pPr>
            <w:r/>
            <w:r>
              <w:rPr>
                <w:sz w:val="17"/>
              </w:rPr>
              <w:t>NOT SUPPORTED</w:t>
            </w:r>
          </w:p>
        </w:tc>
        <w:tc>
          <w:tcPr>
            <w:tcW w:type="dxa" w:w="5669"/>
            <w:shd w:val="clear" w:fill="F2F6FB"/>
          </w:tcPr>
          <w:p>
            <w:pPr>
              <w:spacing w:after="40" w:before="40"/>
            </w:pPr>
            <w:r/>
            <w:r>
              <w:rPr>
                <w:sz w:val="17"/>
              </w:rPr>
              <w:t>Needs voucher PIN, attempt outcome and failure reason.</w:t>
            </w:r>
          </w:p>
        </w:tc>
      </w:tr>
      <w:tr>
        <w:tc>
          <w:tcPr>
            <w:tcW w:type="dxa" w:w="2268"/>
          </w:tcPr>
          <w:p>
            <w:pPr>
              <w:spacing w:after="40" w:before="40"/>
            </w:pPr>
            <w:r/>
            <w:r>
              <w:rPr>
                <w:sz w:val="17"/>
              </w:rPr>
              <w:t>Customer velocity / CLV / churn</w:t>
            </w:r>
          </w:p>
        </w:tc>
        <w:tc>
          <w:tcPr>
            <w:tcW w:type="dxa" w:w="1474"/>
          </w:tcPr>
          <w:p>
            <w:pPr>
              <w:spacing w:after="40" w:before="40"/>
            </w:pPr>
            <w:r/>
            <w:r>
              <w:rPr>
                <w:sz w:val="17"/>
              </w:rPr>
              <w:t>NOT SUPPORTED</w:t>
            </w:r>
          </w:p>
        </w:tc>
        <w:tc>
          <w:tcPr>
            <w:tcW w:type="dxa" w:w="5669"/>
          </w:tcPr>
          <w:p>
            <w:pPr>
              <w:spacing w:after="40" w:before="40"/>
            </w:pPr>
            <w:r/>
            <w:r>
              <w:rPr>
                <w:sz w:val="17"/>
              </w:rPr>
              <w:t>No customer identifier exists. Merchant-level equivalents built instead.</w:t>
            </w:r>
          </w:p>
        </w:tc>
      </w:tr>
    </w:tbl>
    <w:p>
      <w:pPr>
        <w:spacing w:after="80"/>
      </w:pPr>
    </w:p>
    <w:tbl>
      <w:tblPr>
        <w:tblStyle w:val="TableGrid"/>
        <w:tblW w:type="auto" w:w="0"/>
        <w:tblLook w:firstColumn="1" w:firstRow="1" w:lastColumn="0" w:lastRow="0" w:noHBand="0" w:noVBand="1" w:val="04A0"/>
      </w:tblPr>
      <w:tblGrid>
        <w:gridCol w:w="9524"/>
      </w:tblGrid>
      <w:tr>
        <w:tc>
          <w:tcPr>
            <w:tcW w:type="dxa" w:w="9524"/>
            <w:shd w:val="clear" w:fill="F0F9F9"/>
          </w:tcPr>
          <w:p>
            <w:r/>
            <w:r>
              <w:rPr>
                <w:b/>
                <w:color w:val="0E8B8B"/>
                <w:sz w:val="20"/>
              </w:rPr>
              <w:t>Stating what cannot be built is part of the deliverable</w:t>
            </w:r>
          </w:p>
          <w:p>
            <w:pPr>
              <w:spacing w:after="60"/>
            </w:pPr>
            <w:r>
              <w:rPr>
                <w:sz w:val="19"/>
              </w:rPr>
              <w:t>Four of the nine controls above are unbuildable on this dataset, and each names the telemetry it would need. That is more useful to the business than a dashboard of fraud metrics computed from fields that do not carry the signal — and it is the difference between a control framework and a control-shaped picture.</w:t>
            </w:r>
          </w:p>
        </w:tc>
      </w:tr>
    </w:tbl>
    <w:p>
      <w:pPr>
        <w:spacing w:after="80"/>
      </w:pPr>
    </w:p>
    <w:p>
      <w:r>
        <w:br w:type="page"/>
      </w:r>
    </w:p>
    <w:p>
      <w:pPr>
        <w:pStyle w:val="Heading1"/>
      </w:pPr>
      <w:r>
        <w:t>8. Recommendations</w:t>
      </w:r>
    </w:p>
    <w:tbl>
      <w:tblPr>
        <w:tblStyle w:val="TableGrid"/>
        <w:tblW w:type="auto" w:w="0"/>
        <w:jc w:val="center"/>
        <w:tblLook w:firstColumn="1" w:firstRow="1" w:lastColumn="0" w:lastRow="0" w:noHBand="0" w:noVBand="1" w:val="04A0"/>
      </w:tblPr>
      <w:tblGrid>
        <w:gridCol w:w="1905"/>
        <w:gridCol w:w="1905"/>
        <w:gridCol w:w="1905"/>
        <w:gridCol w:w="1905"/>
        <w:gridCol w:w="1905"/>
      </w:tblGrid>
      <w:tr>
        <w:tc>
          <w:tcPr>
            <w:tcW w:type="dxa" w:w="454"/>
            <w:shd w:val="clear" w:fill="12305B"/>
          </w:tcPr>
          <w:p>
            <w:pPr>
              <w:spacing w:after="40" w:before="40"/>
              <w:jc w:val="right"/>
            </w:pPr>
            <w:r/>
            <w:r>
              <w:rPr>
                <w:b/>
                <w:color w:val="FFFFFF"/>
                <w:sz w:val="17"/>
              </w:rPr>
              <w:t>#</w:t>
            </w:r>
          </w:p>
        </w:tc>
        <w:tc>
          <w:tcPr>
            <w:tcW w:type="dxa" w:w="2381"/>
            <w:shd w:val="clear" w:fill="12305B"/>
          </w:tcPr>
          <w:p>
            <w:pPr>
              <w:spacing w:after="40" w:before="40"/>
            </w:pPr>
            <w:r/>
            <w:r>
              <w:rPr>
                <w:b/>
                <w:color w:val="FFFFFF"/>
                <w:sz w:val="17"/>
              </w:rPr>
              <w:t>Action</w:t>
            </w:r>
          </w:p>
        </w:tc>
        <w:tc>
          <w:tcPr>
            <w:tcW w:type="dxa" w:w="1587"/>
            <w:shd w:val="clear" w:fill="12305B"/>
          </w:tcPr>
          <w:p>
            <w:pPr>
              <w:spacing w:after="40" w:before="40"/>
            </w:pPr>
            <w:r/>
            <w:r>
              <w:rPr>
                <w:b/>
                <w:color w:val="FFFFFF"/>
                <w:sz w:val="17"/>
              </w:rPr>
              <w:t>Owner</w:t>
            </w:r>
          </w:p>
        </w:tc>
        <w:tc>
          <w:tcPr>
            <w:tcW w:type="dxa" w:w="3515"/>
            <w:shd w:val="clear" w:fill="12305B"/>
          </w:tcPr>
          <w:p>
            <w:pPr>
              <w:spacing w:after="40" w:before="40"/>
            </w:pPr>
            <w:r/>
            <w:r>
              <w:rPr>
                <w:b/>
                <w:color w:val="FFFFFF"/>
                <w:sz w:val="17"/>
              </w:rPr>
              <w:t>Rationale</w:t>
            </w:r>
          </w:p>
        </w:tc>
        <w:tc>
          <w:tcPr>
            <w:tcW w:type="dxa" w:w="1701"/>
            <w:shd w:val="clear" w:fill="12305B"/>
          </w:tcPr>
          <w:p>
            <w:pPr>
              <w:spacing w:after="40" w:before="40"/>
            </w:pPr>
            <w:r/>
            <w:r>
              <w:rPr>
                <w:b/>
                <w:color w:val="FFFFFF"/>
                <w:sz w:val="17"/>
              </w:rPr>
              <w:t>Expected impact</w:t>
            </w:r>
          </w:p>
        </w:tc>
      </w:tr>
      <w:tr>
        <w:tc>
          <w:tcPr>
            <w:tcW w:type="dxa" w:w="454"/>
          </w:tcPr>
          <w:p>
            <w:pPr>
              <w:spacing w:after="40" w:before="40"/>
              <w:jc w:val="right"/>
            </w:pPr>
            <w:r/>
            <w:r>
              <w:rPr>
                <w:sz w:val="17"/>
              </w:rPr>
              <w:t>1</w:t>
            </w:r>
          </w:p>
        </w:tc>
        <w:tc>
          <w:tcPr>
            <w:tcW w:type="dxa" w:w="2381"/>
          </w:tcPr>
          <w:p>
            <w:pPr>
              <w:spacing w:after="40" w:before="40"/>
            </w:pPr>
            <w:r/>
            <w:r>
              <w:rPr>
                <w:sz w:val="17"/>
              </w:rPr>
              <w:t>Site visit to Umhlanga Value Mart this week</w:t>
            </w:r>
          </w:p>
        </w:tc>
        <w:tc>
          <w:tcPr>
            <w:tcW w:type="dxa" w:w="1587"/>
          </w:tcPr>
          <w:p>
            <w:pPr>
              <w:spacing w:after="40" w:before="40"/>
            </w:pPr>
            <w:r/>
            <w:r>
              <w:rPr>
                <w:sz w:val="17"/>
              </w:rPr>
              <w:t>Account Management</w:t>
            </w:r>
          </w:p>
        </w:tc>
        <w:tc>
          <w:tcPr>
            <w:tcW w:type="dxa" w:w="3515"/>
          </w:tcPr>
          <w:p>
            <w:pPr>
              <w:spacing w:after="40" w:before="40"/>
            </w:pPr>
            <w:r/>
            <w:r>
              <w:rPr>
                <w:sz w:val="17"/>
              </w:rPr>
              <w:t>Sales −42.5% and tickets +693% in the same month — an operational failure causing commercial damage, which means it is plausibly recoverable</w:t>
            </w:r>
          </w:p>
        </w:tc>
        <w:tc>
          <w:tcPr>
            <w:tcW w:type="dxa" w:w="1701"/>
          </w:tcPr>
          <w:p>
            <w:pPr>
              <w:spacing w:after="40" w:before="40"/>
            </w:pPr>
            <w:r/>
            <w:r>
              <w:rPr>
                <w:sz w:val="17"/>
              </w:rPr>
              <w:t>R571,518 annualised revenue</w:t>
            </w:r>
          </w:p>
        </w:tc>
      </w:tr>
      <w:tr>
        <w:tc>
          <w:tcPr>
            <w:tcW w:type="dxa" w:w="454"/>
            <w:shd w:val="clear" w:fill="F2F6FB"/>
          </w:tcPr>
          <w:p>
            <w:pPr>
              <w:spacing w:after="40" w:before="40"/>
              <w:jc w:val="right"/>
            </w:pPr>
            <w:r/>
            <w:r>
              <w:rPr>
                <w:sz w:val="17"/>
              </w:rPr>
              <w:t>2</w:t>
            </w:r>
          </w:p>
        </w:tc>
        <w:tc>
          <w:tcPr>
            <w:tcW w:type="dxa" w:w="2381"/>
            <w:shd w:val="clear" w:fill="F2F6FB"/>
          </w:tcPr>
          <w:p>
            <w:pPr>
              <w:spacing w:after="40" w:before="40"/>
            </w:pPr>
            <w:r/>
            <w:r>
              <w:rPr>
                <w:sz w:val="17"/>
              </w:rPr>
              <w:t>Re-base the SLA policy</w:t>
            </w:r>
          </w:p>
        </w:tc>
        <w:tc>
          <w:tcPr>
            <w:tcW w:type="dxa" w:w="1587"/>
            <w:shd w:val="clear" w:fill="F2F6FB"/>
          </w:tcPr>
          <w:p>
            <w:pPr>
              <w:spacing w:after="40" w:before="40"/>
            </w:pPr>
            <w:r/>
            <w:r>
              <w:rPr>
                <w:sz w:val="17"/>
              </w:rPr>
              <w:t>Operations</w:t>
            </w:r>
          </w:p>
        </w:tc>
        <w:tc>
          <w:tcPr>
            <w:tcW w:type="dxa" w:w="3515"/>
            <w:shd w:val="clear" w:fill="F2F6FB"/>
          </w:tcPr>
          <w:p>
            <w:pPr>
              <w:spacing w:after="40" w:before="40"/>
            </w:pPr>
            <w:r/>
            <w:r>
              <w:rPr>
                <w:sz w:val="17"/>
              </w:rPr>
              <w:t>94.7% of breaches come from Critical/High because targets run inverse to actual workload. A 90th-percentile-compliant Critical SLA would be ~120h. Either re-base the targets or resource high-priority work separately</w:t>
            </w:r>
          </w:p>
        </w:tc>
        <w:tc>
          <w:tcPr>
            <w:tcW w:type="dxa" w:w="1701"/>
            <w:shd w:val="clear" w:fill="F2F6FB"/>
          </w:tcPr>
          <w:p>
            <w:pPr>
              <w:spacing w:after="40" w:before="40"/>
            </w:pPr>
            <w:r/>
            <w:r>
              <w:rPr>
                <w:sz w:val="17"/>
              </w:rPr>
              <w:t>Restores SLA as a usable management signal</w:t>
            </w:r>
          </w:p>
        </w:tc>
      </w:tr>
      <w:tr>
        <w:tc>
          <w:tcPr>
            <w:tcW w:type="dxa" w:w="454"/>
          </w:tcPr>
          <w:p>
            <w:pPr>
              <w:spacing w:after="40" w:before="40"/>
              <w:jc w:val="right"/>
            </w:pPr>
            <w:r/>
            <w:r>
              <w:rPr>
                <w:sz w:val="17"/>
              </w:rPr>
              <w:t>3</w:t>
            </w:r>
          </w:p>
        </w:tc>
        <w:tc>
          <w:tcPr>
            <w:tcW w:type="dxa" w:w="2381"/>
          </w:tcPr>
          <w:p>
            <w:pPr>
              <w:spacing w:after="40" w:before="40"/>
            </w:pPr>
            <w:r/>
            <w:r>
              <w:rPr>
                <w:sz w:val="17"/>
              </w:rPr>
              <w:t>Root-cause Durban Cash Hub's ticket volume</w:t>
            </w:r>
          </w:p>
        </w:tc>
        <w:tc>
          <w:tcPr>
            <w:tcW w:type="dxa" w:w="1587"/>
          </w:tcPr>
          <w:p>
            <w:pPr>
              <w:spacing w:after="40" w:before="40"/>
            </w:pPr>
            <w:r/>
            <w:r>
              <w:rPr>
                <w:sz w:val="17"/>
              </w:rPr>
              <w:t>Operations</w:t>
            </w:r>
          </w:p>
        </w:tc>
        <w:tc>
          <w:tcPr>
            <w:tcW w:type="dxa" w:w="3515"/>
          </w:tcPr>
          <w:p>
            <w:pPr>
              <w:spacing w:after="40" w:before="40"/>
            </w:pPr>
            <w:r/>
            <w:r>
              <w:rPr>
                <w:sz w:val="17"/>
              </w:rPr>
              <w:t>+780% tickets on the largest merchant in the book while sales still grow — a service problem that has not yet become a commercial one</w:t>
            </w:r>
          </w:p>
        </w:tc>
        <w:tc>
          <w:tcPr>
            <w:tcW w:type="dxa" w:w="1701"/>
          </w:tcPr>
          <w:p>
            <w:pPr>
              <w:spacing w:after="40" w:before="40"/>
            </w:pPr>
            <w:r/>
            <w:r>
              <w:rPr>
                <w:sz w:val="17"/>
              </w:rPr>
              <w:t>Protects R5.8m of annual revenue</w:t>
            </w:r>
          </w:p>
        </w:tc>
      </w:tr>
      <w:tr>
        <w:tc>
          <w:tcPr>
            <w:tcW w:type="dxa" w:w="454"/>
            <w:shd w:val="clear" w:fill="F2F6FB"/>
          </w:tcPr>
          <w:p>
            <w:pPr>
              <w:spacing w:after="40" w:before="40"/>
              <w:jc w:val="right"/>
            </w:pPr>
            <w:r/>
            <w:r>
              <w:rPr>
                <w:sz w:val="17"/>
              </w:rPr>
              <w:t>4</w:t>
            </w:r>
          </w:p>
        </w:tc>
        <w:tc>
          <w:tcPr>
            <w:tcW w:type="dxa" w:w="2381"/>
            <w:shd w:val="clear" w:fill="F2F6FB"/>
          </w:tcPr>
          <w:p>
            <w:pPr>
              <w:spacing w:after="40" w:before="40"/>
            </w:pPr>
            <w:r/>
            <w:r>
              <w:rPr>
                <w:sz w:val="17"/>
              </w:rPr>
              <w:t>Eastern Cape regional review</w:t>
            </w:r>
          </w:p>
        </w:tc>
        <w:tc>
          <w:tcPr>
            <w:tcW w:type="dxa" w:w="1587"/>
            <w:shd w:val="clear" w:fill="F2F6FB"/>
          </w:tcPr>
          <w:p>
            <w:pPr>
              <w:spacing w:after="40" w:before="40"/>
            </w:pPr>
            <w:r/>
            <w:r>
              <w:rPr>
                <w:sz w:val="17"/>
              </w:rPr>
              <w:t>Regional Management</w:t>
            </w:r>
          </w:p>
        </w:tc>
        <w:tc>
          <w:tcPr>
            <w:tcW w:type="dxa" w:w="3515"/>
            <w:shd w:val="clear" w:fill="F2F6FB"/>
          </w:tcPr>
          <w:p>
            <w:pPr>
              <w:spacing w:after="40" w:before="40"/>
            </w:pPr>
            <w:r/>
            <w:r>
              <w:rPr>
                <w:sz w:val="17"/>
              </w:rPr>
              <w:t>The only region below its own peak; 3 of 5 Critical/Watch merchants sit there</w:t>
            </w:r>
          </w:p>
        </w:tc>
        <w:tc>
          <w:tcPr>
            <w:tcW w:type="dxa" w:w="1701"/>
            <w:shd w:val="clear" w:fill="F2F6FB"/>
          </w:tcPr>
          <w:p>
            <w:pPr>
              <w:spacing w:after="40" w:before="40"/>
            </w:pPr>
            <w:r/>
            <w:r>
              <w:rPr>
                <w:sz w:val="17"/>
              </w:rPr>
              <w:t>R8.8m region on a declining trajectory</w:t>
            </w:r>
          </w:p>
        </w:tc>
      </w:tr>
      <w:tr>
        <w:tc>
          <w:tcPr>
            <w:tcW w:type="dxa" w:w="454"/>
          </w:tcPr>
          <w:p>
            <w:pPr>
              <w:spacing w:after="40" w:before="40"/>
              <w:jc w:val="right"/>
            </w:pPr>
            <w:r/>
            <w:r>
              <w:rPr>
                <w:sz w:val="17"/>
              </w:rPr>
              <w:t>5</w:t>
            </w:r>
          </w:p>
        </w:tc>
        <w:tc>
          <w:tcPr>
            <w:tcW w:type="dxa" w:w="2381"/>
          </w:tcPr>
          <w:p>
            <w:pPr>
              <w:spacing w:after="40" w:before="40"/>
            </w:pPr>
            <w:r/>
            <w:r>
              <w:rPr>
                <w:sz w:val="17"/>
              </w:rPr>
              <w:t>Gaming voucher redemption campaign</w:t>
            </w:r>
          </w:p>
        </w:tc>
        <w:tc>
          <w:tcPr>
            <w:tcW w:type="dxa" w:w="1587"/>
          </w:tcPr>
          <w:p>
            <w:pPr>
              <w:spacing w:after="40" w:before="40"/>
            </w:pPr>
            <w:r/>
            <w:r>
              <w:rPr>
                <w:sz w:val="17"/>
              </w:rPr>
              <w:t>Commercial</w:t>
            </w:r>
          </w:p>
        </w:tc>
        <w:tc>
          <w:tcPr>
            <w:tcW w:type="dxa" w:w="3515"/>
          </w:tcPr>
          <w:p>
            <w:pPr>
              <w:spacing w:after="40" w:before="40"/>
            </w:pPr>
            <w:r/>
            <w:r>
              <w:rPr>
                <w:sz w:val="17"/>
              </w:rPr>
              <w:t>24% non-redemption against 7% for Airtime. The propensity model can target the top risk decile directly</w:t>
            </w:r>
          </w:p>
        </w:tc>
        <w:tc>
          <w:tcPr>
            <w:tcW w:type="dxa" w:w="1701"/>
          </w:tcPr>
          <w:p>
            <w:pPr>
              <w:spacing w:after="40" w:before="40"/>
            </w:pPr>
            <w:r/>
            <w:r>
              <w:rPr>
                <w:sz w:val="17"/>
              </w:rPr>
              <w:t>R171,689 of at-risk value in the top decile</w:t>
            </w:r>
          </w:p>
        </w:tc>
      </w:tr>
      <w:tr>
        <w:tc>
          <w:tcPr>
            <w:tcW w:type="dxa" w:w="454"/>
            <w:shd w:val="clear" w:fill="F2F6FB"/>
          </w:tcPr>
          <w:p>
            <w:pPr>
              <w:spacing w:after="40" w:before="40"/>
              <w:jc w:val="right"/>
            </w:pPr>
            <w:r/>
            <w:r>
              <w:rPr>
                <w:sz w:val="17"/>
              </w:rPr>
              <w:t>6</w:t>
            </w:r>
          </w:p>
        </w:tc>
        <w:tc>
          <w:tcPr>
            <w:tcW w:type="dxa" w:w="2381"/>
            <w:shd w:val="clear" w:fill="F2F6FB"/>
          </w:tcPr>
          <w:p>
            <w:pPr>
              <w:spacing w:after="40" w:before="40"/>
            </w:pPr>
            <w:r/>
            <w:r>
              <w:rPr>
                <w:sz w:val="17"/>
              </w:rPr>
              <w:t>Confirm the sales target basis with Finance</w:t>
            </w:r>
          </w:p>
        </w:tc>
        <w:tc>
          <w:tcPr>
            <w:tcW w:type="dxa" w:w="1587"/>
            <w:shd w:val="clear" w:fill="F2F6FB"/>
          </w:tcPr>
          <w:p>
            <w:pPr>
              <w:spacing w:after="40" w:before="40"/>
            </w:pPr>
            <w:r/>
            <w:r>
              <w:rPr>
                <w:sz w:val="17"/>
              </w:rPr>
              <w:t>Finance / BI</w:t>
            </w:r>
          </w:p>
        </w:tc>
        <w:tc>
          <w:tcPr>
            <w:tcW w:type="dxa" w:w="3515"/>
            <w:shd w:val="clear" w:fill="F2F6FB"/>
          </w:tcPr>
          <w:p>
            <w:pPr>
              <w:spacing w:after="40" w:before="40"/>
            </w:pPr>
            <w:r/>
            <w:r>
              <w:rPr>
                <w:sz w:val="17"/>
              </w:rPr>
              <w:t>Targets sit ~6.1× below realised sales for all 25 merchants — a basis error, not outperformance</w:t>
            </w:r>
          </w:p>
        </w:tc>
        <w:tc>
          <w:tcPr>
            <w:tcW w:type="dxa" w:w="1701"/>
            <w:shd w:val="clear" w:fill="F2F6FB"/>
          </w:tcPr>
          <w:p>
            <w:pPr>
              <w:spacing w:after="40" w:before="40"/>
            </w:pPr>
            <w:r/>
            <w:r>
              <w:rPr>
                <w:sz w:val="17"/>
              </w:rPr>
              <w:t>Makes target attainment reportable at all</w:t>
            </w:r>
          </w:p>
        </w:tc>
      </w:tr>
    </w:tbl>
    <w:p>
      <w:pPr>
        <w:spacing w:after="80"/>
      </w:pPr>
    </w:p>
    <w:p>
      <w:r>
        <w:br w:type="page"/>
      </w:r>
    </w:p>
    <w:p>
      <w:pPr>
        <w:pStyle w:val="Heading1"/>
      </w:pPr>
      <w:r>
        <w:t>9. Data quality, assumptions and limitations</w:t>
      </w:r>
    </w:p>
    <w:p>
      <w:pPr>
        <w:pStyle w:val="Heading2"/>
      </w:pPr>
      <w:r>
        <w:t>Data quality findings</w:t>
      </w:r>
    </w:p>
    <w:tbl>
      <w:tblPr>
        <w:tblStyle w:val="TableGrid"/>
        <w:tblW w:type="auto" w:w="0"/>
        <w:jc w:val="center"/>
        <w:tblLook w:firstColumn="1" w:firstRow="1" w:lastColumn="0" w:lastRow="0" w:noHBand="0" w:noVBand="1" w:val="04A0"/>
      </w:tblPr>
      <w:tblGrid>
        <w:gridCol w:w="4762"/>
        <w:gridCol w:w="4762"/>
      </w:tblGrid>
      <w:tr>
        <w:tc>
          <w:tcPr>
            <w:tcW w:type="dxa" w:w="2268"/>
            <w:shd w:val="clear" w:fill="12305B"/>
          </w:tcPr>
          <w:p>
            <w:pPr>
              <w:spacing w:after="40" w:before="40"/>
            </w:pPr>
            <w:r/>
            <w:r>
              <w:rPr>
                <w:b/>
                <w:color w:val="FFFFFF"/>
                <w:sz w:val="18"/>
              </w:rPr>
              <w:t>Finding</w:t>
            </w:r>
          </w:p>
        </w:tc>
        <w:tc>
          <w:tcPr>
            <w:tcW w:type="dxa" w:w="7143"/>
            <w:shd w:val="clear" w:fill="12305B"/>
          </w:tcPr>
          <w:p>
            <w:pPr>
              <w:spacing w:after="40" w:before="40"/>
            </w:pPr>
            <w:r/>
            <w:r>
              <w:rPr>
                <w:b/>
                <w:color w:val="FFFFFF"/>
                <w:sz w:val="18"/>
              </w:rPr>
              <w:t>Detail and treatment</w:t>
            </w:r>
          </w:p>
        </w:tc>
      </w:tr>
      <w:tr>
        <w:tc>
          <w:tcPr>
            <w:tcW w:type="dxa" w:w="2268"/>
          </w:tcPr>
          <w:p>
            <w:pPr>
              <w:spacing w:after="40" w:before="40"/>
            </w:pPr>
            <w:r/>
            <w:r>
              <w:rPr>
                <w:sz w:val="18"/>
              </w:rPr>
              <w:t>Sales targets mis-calibrated</w:t>
            </w:r>
          </w:p>
        </w:tc>
        <w:tc>
          <w:tcPr>
            <w:tcW w:type="dxa" w:w="7143"/>
          </w:tcPr>
          <w:p>
            <w:pPr>
              <w:spacing w:after="40" w:before="40"/>
            </w:pPr>
            <w:r/>
            <w:r>
              <w:rPr>
                <w:sz w:val="18"/>
              </w:rPr>
              <w:t>BaseMonthlySalesTarget sits ~6.1× below realised sales for ALL 25 merchants, so raw target attainment reads 614%. The consistency across every merchant points to a basis or units error rather than genuine outperformance. The supplied value is retained unchanged for transparency; the report uses a relative Target Attainment Index (merchant attainment ÷ portfolio attainment), which is comparable across merchants and immune to the calibration error. Confirming the intended basis is the first question for the business.</w:t>
            </w:r>
          </w:p>
        </w:tc>
      </w:tr>
      <w:tr>
        <w:tc>
          <w:tcPr>
            <w:tcW w:type="dxa" w:w="2268"/>
            <w:shd w:val="clear" w:fill="F2F6FB"/>
          </w:tcPr>
          <w:p>
            <w:pPr>
              <w:spacing w:after="40" w:before="40"/>
            </w:pPr>
            <w:r/>
            <w:r>
              <w:rPr>
                <w:sz w:val="18"/>
              </w:rPr>
              <w:t>SLA thresholds inverted vs workload</w:t>
            </w:r>
          </w:p>
        </w:tc>
        <w:tc>
          <w:tcPr>
            <w:tcW w:type="dxa" w:w="7143"/>
            <w:shd w:val="clear" w:fill="F2F6FB"/>
          </w:tcPr>
          <w:p>
            <w:pPr>
              <w:spacing w:after="40" w:before="40"/>
            </w:pPr>
            <w:r/>
            <w:r>
              <w:rPr>
                <w:sz w:val="18"/>
              </w:rPr>
              <w:t>Critical gets 12h but averages 52.7h; Low gets 48h and averages 11.3h. Treated as a genuine policy finding and reported as such, not silently corrected in the data.</w:t>
            </w:r>
          </w:p>
        </w:tc>
      </w:tr>
      <w:tr>
        <w:tc>
          <w:tcPr>
            <w:tcW w:type="dxa" w:w="2268"/>
          </w:tcPr>
          <w:p>
            <w:pPr>
              <w:spacing w:after="40" w:before="40"/>
            </w:pPr>
            <w:r/>
            <w:r>
              <w:rPr>
                <w:sz w:val="18"/>
              </w:rPr>
              <w:t>Redemption flag vs date</w:t>
            </w:r>
          </w:p>
        </w:tc>
        <w:tc>
          <w:tcPr>
            <w:tcW w:type="dxa" w:w="7143"/>
          </w:tcPr>
          <w:p>
            <w:pPr>
              <w:spacing w:after="40" w:before="40"/>
            </w:pPr>
            <w:r/>
            <w:r>
              <w:rPr>
                <w:sz w:val="18"/>
              </w:rPr>
              <w:t>0 records disagree in the supplied data. The validation rule is still enforced in silver, and violations would be flagged via quality_flag rather than silently dropped — the headline redemption rate is too visible to leave unguarded.</w:t>
            </w:r>
          </w:p>
        </w:tc>
      </w:tr>
      <w:tr>
        <w:tc>
          <w:tcPr>
            <w:tcW w:type="dxa" w:w="2268"/>
            <w:shd w:val="clear" w:fill="F2F6FB"/>
          </w:tcPr>
          <w:p>
            <w:pPr>
              <w:spacing w:after="40" w:before="40"/>
            </w:pPr>
            <w:r/>
            <w:r>
              <w:rPr>
                <w:sz w:val="18"/>
              </w:rPr>
              <w:t>Referential integrity</w:t>
            </w:r>
          </w:p>
        </w:tc>
        <w:tc>
          <w:tcPr>
            <w:tcW w:type="dxa" w:w="7143"/>
            <w:shd w:val="clear" w:fill="F2F6FB"/>
          </w:tcPr>
          <w:p>
            <w:pPr>
              <w:spacing w:after="40" w:before="40"/>
            </w:pPr>
            <w:r/>
            <w:r>
              <w:rPr>
                <w:sz w:val="18"/>
              </w:rPr>
              <w:t>0 orphan MerchantIDs across all three facts. Fact-embedded Merchant/Region/Channel agree with MerchantReference in 100% of cases, which is what made dropping them from the facts a lossless decision.</w:t>
            </w:r>
          </w:p>
        </w:tc>
      </w:tr>
      <w:tr>
        <w:tc>
          <w:tcPr>
            <w:tcW w:type="dxa" w:w="2268"/>
          </w:tcPr>
          <w:p>
            <w:pPr>
              <w:spacing w:after="40" w:before="40"/>
            </w:pPr>
            <w:r/>
            <w:r>
              <w:rPr>
                <w:sz w:val="18"/>
              </w:rPr>
              <w:t>Redemption tail beyond the window</w:t>
            </w:r>
          </w:p>
        </w:tc>
        <w:tc>
          <w:tcPr>
            <w:tcW w:type="dxa" w:w="7143"/>
          </w:tcPr>
          <w:p>
            <w:pPr>
              <w:spacing w:after="40" w:before="40"/>
            </w:pPr>
            <w:r/>
            <w:r>
              <w:rPr>
                <w:sz w:val="18"/>
              </w:rPr>
              <w:t>RedeemedDate extends to 20 August 2026, past the 31 July sales cut-off. This is expected. The calendar SPANS these dates so the join works, but the reporting WINDOW is defined by activity dates only — without that separation a partial August containing no sales would drag down every period-based measure.</w:t>
            </w:r>
          </w:p>
        </w:tc>
      </w:tr>
    </w:tbl>
    <w:p>
      <w:pPr>
        <w:spacing w:after="80"/>
      </w:pPr>
    </w:p>
    <w:p>
      <w:pPr>
        <w:pStyle w:val="Heading2"/>
      </w:pPr>
      <w:r>
        <w:t>Assumptions</w:t>
      </w:r>
    </w:p>
    <w:tbl>
      <w:tblPr>
        <w:tblStyle w:val="TableGrid"/>
        <w:tblW w:type="auto" w:w="0"/>
        <w:jc w:val="center"/>
        <w:tblLook w:firstColumn="1" w:firstRow="1" w:lastColumn="0" w:lastRow="0" w:noHBand="0" w:noVBand="1" w:val="04A0"/>
      </w:tblPr>
      <w:tblGrid>
        <w:gridCol w:w="4762"/>
        <w:gridCol w:w="4762"/>
      </w:tblGrid>
      <w:tr>
        <w:tc>
          <w:tcPr>
            <w:tcW w:type="dxa" w:w="2494"/>
            <w:shd w:val="clear" w:fill="12305B"/>
          </w:tcPr>
          <w:p>
            <w:pPr>
              <w:spacing w:after="40" w:before="40"/>
            </w:pPr>
            <w:r/>
            <w:r>
              <w:rPr>
                <w:b/>
                <w:color w:val="FFFFFF"/>
                <w:sz w:val="18"/>
              </w:rPr>
              <w:t>Assumption</w:t>
            </w:r>
          </w:p>
        </w:tc>
        <w:tc>
          <w:tcPr>
            <w:tcW w:type="dxa" w:w="6917"/>
            <w:shd w:val="clear" w:fill="12305B"/>
          </w:tcPr>
          <w:p>
            <w:pPr>
              <w:spacing w:after="40" w:before="40"/>
            </w:pPr>
            <w:r/>
            <w:r>
              <w:rPr>
                <w:b/>
                <w:color w:val="FFFFFF"/>
                <w:sz w:val="18"/>
              </w:rPr>
              <w:t>Rationale</w:t>
            </w:r>
          </w:p>
        </w:tc>
      </w:tr>
      <w:tr>
        <w:tc>
          <w:tcPr>
            <w:tcW w:type="dxa" w:w="2494"/>
          </w:tcPr>
          <w:p>
            <w:pPr>
              <w:spacing w:after="40" w:before="40"/>
            </w:pPr>
            <w:r/>
            <w:r>
              <w:rPr>
                <w:sz w:val="18"/>
              </w:rPr>
              <w:t>Delayed redemption = more than 7 days</w:t>
            </w:r>
          </w:p>
        </w:tc>
        <w:tc>
          <w:tcPr>
            <w:tcW w:type="dxa" w:w="6917"/>
          </w:tcPr>
          <w:p>
            <w:pPr>
              <w:spacing w:after="40" w:before="40"/>
            </w:pPr>
            <w:r/>
            <w:r>
              <w:rPr>
                <w:sz w:val="18"/>
              </w:rPr>
              <w:t>No threshold supplied. 7 days sits above the 75th percentile (5 days), so it flags a genuine tail rather than routine behaviour.</w:t>
            </w:r>
          </w:p>
        </w:tc>
      </w:tr>
      <w:tr>
        <w:tc>
          <w:tcPr>
            <w:tcW w:type="dxa" w:w="2494"/>
            <w:shd w:val="clear" w:fill="F2F6FB"/>
          </w:tcPr>
          <w:p>
            <w:pPr>
              <w:spacing w:after="40" w:before="40"/>
            </w:pPr>
            <w:r/>
            <w:r>
              <w:rPr>
                <w:sz w:val="18"/>
              </w:rPr>
              <w:t>Voucher expiry / breakage = 90 days</w:t>
            </w:r>
          </w:p>
        </w:tc>
        <w:tc>
          <w:tcPr>
            <w:tcW w:type="dxa" w:w="6917"/>
            <w:shd w:val="clear" w:fill="F2F6FB"/>
          </w:tcPr>
          <w:p>
            <w:pPr>
              <w:spacing w:after="40" w:before="40"/>
            </w:pPr>
            <w:r/>
            <w:r>
              <w:rPr>
                <w:sz w:val="18"/>
              </w:rPr>
              <w:t>No expiry rule supplied; 90 days is a common voucher industry default. Affects the breakage measure only — outstanding liability is unaffected.</w:t>
            </w:r>
          </w:p>
        </w:tc>
      </w:tr>
      <w:tr>
        <w:tc>
          <w:tcPr>
            <w:tcW w:type="dxa" w:w="2494"/>
          </w:tcPr>
          <w:p>
            <w:pPr>
              <w:spacing w:after="40" w:before="40"/>
            </w:pPr>
            <w:r/>
            <w:r>
              <w:rPr>
                <w:sz w:val="18"/>
              </w:rPr>
              <w:t>Targets pro-rated by days covered</w:t>
            </w:r>
          </w:p>
        </w:tc>
        <w:tc>
          <w:tcPr>
            <w:tcW w:type="dxa" w:w="6917"/>
          </w:tcPr>
          <w:p>
            <w:pPr>
              <w:spacing w:after="40" w:before="40"/>
            </w:pPr>
            <w:r/>
            <w:r>
              <w:rPr>
                <w:sz w:val="18"/>
              </w:rPr>
              <w:t>Every month in the window is complete, so the factor is currently 1.0. The logic is in place so a mid-month refresh cannot produce a false shortfall.</w:t>
            </w:r>
          </w:p>
        </w:tc>
      </w:tr>
      <w:tr>
        <w:tc>
          <w:tcPr>
            <w:tcW w:type="dxa" w:w="2494"/>
            <w:shd w:val="clear" w:fill="F2F6FB"/>
          </w:tcPr>
          <w:p>
            <w:pPr>
              <w:spacing w:after="40" w:before="40"/>
            </w:pPr>
            <w:r/>
            <w:r>
              <w:rPr>
                <w:sz w:val="18"/>
              </w:rPr>
              <w:t>Support cost of R450/hour</w:t>
            </w:r>
          </w:p>
        </w:tc>
        <w:tc>
          <w:tcPr>
            <w:tcW w:type="dxa" w:w="6917"/>
            <w:shd w:val="clear" w:fill="F2F6FB"/>
          </w:tcPr>
          <w:p>
            <w:pPr>
              <w:spacing w:after="40" w:before="40"/>
            </w:pPr>
            <w:r/>
            <w:r>
              <w:rPr>
                <w:sz w:val="18"/>
              </w:rPr>
              <w:t>Used only in the indicative Ops Cost Exposure measure. Clearly flagged; should be replaced with Finance's actual loaded rate before use.</w:t>
            </w:r>
          </w:p>
        </w:tc>
      </w:tr>
      <w:tr>
        <w:tc>
          <w:tcPr>
            <w:tcW w:type="dxa" w:w="2494"/>
          </w:tcPr>
          <w:p>
            <w:pPr>
              <w:spacing w:after="40" w:before="40"/>
            </w:pPr>
            <w:r/>
            <w:r>
              <w:rPr>
                <w:sz w:val="18"/>
              </w:rPr>
              <w:t>Voucher category and margin band</w:t>
            </w:r>
          </w:p>
        </w:tc>
        <w:tc>
          <w:tcPr>
            <w:tcW w:type="dxa" w:w="6917"/>
          </w:tcPr>
          <w:p>
            <w:pPr>
              <w:spacing w:after="40" w:before="40"/>
            </w:pPr>
            <w:r/>
            <w:r>
              <w:rPr>
                <w:sz w:val="18"/>
              </w:rPr>
              <w:t>Not present in the source. Maintained as a dbt seed so the commercial team can change the mapping without a code deployment.</w:t>
            </w:r>
          </w:p>
        </w:tc>
      </w:tr>
      <w:tr>
        <w:tc>
          <w:tcPr>
            <w:tcW w:type="dxa" w:w="2494"/>
            <w:shd w:val="clear" w:fill="F2F6FB"/>
          </w:tcPr>
          <w:p>
            <w:pPr>
              <w:spacing w:after="40" w:before="40"/>
            </w:pPr>
            <w:r/>
            <w:r>
              <w:rPr>
                <w:sz w:val="18"/>
              </w:rPr>
              <w:t>Health Score weights</w:t>
            </w:r>
          </w:p>
        </w:tc>
        <w:tc>
          <w:tcPr>
            <w:tcW w:type="dxa" w:w="6917"/>
            <w:shd w:val="clear" w:fill="F2F6FB"/>
          </w:tcPr>
          <w:p>
            <w:pPr>
              <w:spacing w:after="40" w:before="40"/>
            </w:pPr>
            <w:r/>
            <w:r>
              <w:rPr>
                <w:sz w:val="18"/>
              </w:rPr>
              <w:t>Weighted toward recent momentum (25%) over structural trend (15%) because the operational purpose is early warning. Declared in one place and treated as a business-tunable parameter, not a hidden constant.</w:t>
            </w:r>
          </w:p>
        </w:tc>
      </w:tr>
    </w:tbl>
    <w:p>
      <w:pPr>
        <w:spacing w:after="80"/>
      </w:pPr>
    </w:p>
    <w:p>
      <w:pPr>
        <w:pStyle w:val="Heading2"/>
      </w:pPr>
      <w:r>
        <w:t>Limitations</w:t>
      </w:r>
    </w:p>
    <w:tbl>
      <w:tblPr>
        <w:tblStyle w:val="TableGrid"/>
        <w:tblW w:type="auto" w:w="0"/>
        <w:jc w:val="center"/>
        <w:tblLook w:firstColumn="1" w:firstRow="1" w:lastColumn="0" w:lastRow="0" w:noHBand="0" w:noVBand="1" w:val="04A0"/>
      </w:tblPr>
      <w:tblGrid>
        <w:gridCol w:w="4762"/>
        <w:gridCol w:w="4762"/>
      </w:tblGrid>
      <w:tr>
        <w:tc>
          <w:tcPr>
            <w:tcW w:type="dxa" w:w="2494"/>
            <w:shd w:val="clear" w:fill="12305B"/>
          </w:tcPr>
          <w:p>
            <w:pPr>
              <w:spacing w:after="40" w:before="40"/>
            </w:pPr>
            <w:r/>
            <w:r>
              <w:rPr>
                <w:b/>
                <w:color w:val="FFFFFF"/>
                <w:sz w:val="18"/>
              </w:rPr>
              <w:t>Limitation</w:t>
            </w:r>
          </w:p>
        </w:tc>
        <w:tc>
          <w:tcPr>
            <w:tcW w:type="dxa" w:w="6917"/>
            <w:shd w:val="clear" w:fill="12305B"/>
          </w:tcPr>
          <w:p>
            <w:pPr>
              <w:spacing w:after="40" w:before="40"/>
            </w:pPr>
            <w:r/>
            <w:r>
              <w:rPr>
                <w:b/>
                <w:color w:val="FFFFFF"/>
                <w:sz w:val="18"/>
              </w:rPr>
              <w:t>Impact</w:t>
            </w:r>
          </w:p>
        </w:tc>
      </w:tr>
      <w:tr>
        <w:tc>
          <w:tcPr>
            <w:tcW w:type="dxa" w:w="2494"/>
          </w:tcPr>
          <w:p>
            <w:pPr>
              <w:spacing w:after="40" w:before="40"/>
            </w:pPr>
            <w:r/>
            <w:r>
              <w:rPr>
                <w:sz w:val="18"/>
              </w:rPr>
              <w:t>Seven months of data</w:t>
            </w:r>
          </w:p>
        </w:tc>
        <w:tc>
          <w:tcPr>
            <w:tcW w:type="dxa" w:w="6917"/>
          </w:tcPr>
          <w:p>
            <w:pPr>
              <w:spacing w:after="40" w:before="40"/>
            </w:pPr>
            <w:r/>
            <w:r>
              <w:rPr>
                <w:sz w:val="18"/>
              </w:rPr>
              <w:t>No year-on-year comparison is possible. The YoY measures are written and will work once a second year exists, but currently return BLANK by design rather than a misleading zero.</w:t>
            </w:r>
          </w:p>
        </w:tc>
      </w:tr>
      <w:tr>
        <w:tc>
          <w:tcPr>
            <w:tcW w:type="dxa" w:w="2494"/>
            <w:shd w:val="clear" w:fill="F2F6FB"/>
          </w:tcPr>
          <w:p>
            <w:pPr>
              <w:spacing w:after="40" w:before="40"/>
            </w:pPr>
            <w:r/>
            <w:r>
              <w:rPr>
                <w:sz w:val="18"/>
              </w:rPr>
              <w:t>No annual seasonality baseline</w:t>
            </w:r>
          </w:p>
        </w:tc>
        <w:tc>
          <w:tcPr>
            <w:tcW w:type="dxa" w:w="6917"/>
            <w:shd w:val="clear" w:fill="F2F6FB"/>
          </w:tcPr>
          <w:p>
            <w:pPr>
              <w:spacing w:after="40" w:before="40"/>
            </w:pPr>
            <w:r/>
            <w:r>
              <w:rPr>
                <w:sz w:val="18"/>
              </w:rPr>
              <w:t>The 4.69% forecast MAPE reflects weekly seasonality only. Festive trading and school terms cannot be modelled from seven months and would likely change the December forecast materially.</w:t>
            </w:r>
          </w:p>
        </w:tc>
      </w:tr>
      <w:tr>
        <w:tc>
          <w:tcPr>
            <w:tcW w:type="dxa" w:w="2494"/>
          </w:tcPr>
          <w:p>
            <w:pPr>
              <w:spacing w:after="40" w:before="40"/>
            </w:pPr>
            <w:r/>
            <w:r>
              <w:rPr>
                <w:sz w:val="18"/>
              </w:rPr>
              <w:t>25 merchants limits statistical power</w:t>
            </w:r>
          </w:p>
        </w:tc>
        <w:tc>
          <w:tcPr>
            <w:tcW w:type="dxa" w:w="6917"/>
          </w:tcPr>
          <w:p>
            <w:pPr>
              <w:spacing w:after="40" w:before="40"/>
            </w:pPr>
            <w:r/>
            <w:r>
              <w:rPr>
                <w:sz w:val="18"/>
              </w:rPr>
              <w:t>Merchant-level correlations rest on n=25. This is why the operations-versus-performance analysis uses the 175-row merchant-month panel and partial correlation rather than resting on a single cross-sectional coefficient.</w:t>
            </w:r>
          </w:p>
        </w:tc>
      </w:tr>
      <w:tr>
        <w:tc>
          <w:tcPr>
            <w:tcW w:type="dxa" w:w="2494"/>
            <w:shd w:val="clear" w:fill="F2F6FB"/>
          </w:tcPr>
          <w:p>
            <w:pPr>
              <w:spacing w:after="40" w:before="40"/>
            </w:pPr>
            <w:r/>
            <w:r>
              <w:rPr>
                <w:sz w:val="18"/>
              </w:rPr>
              <w:t>Redemption model ceiling</w:t>
            </w:r>
          </w:p>
        </w:tc>
        <w:tc>
          <w:tcPr>
            <w:tcW w:type="dxa" w:w="6917"/>
            <w:shd w:val="clear" w:fill="F2F6FB"/>
          </w:tcPr>
          <w:p>
            <w:pPr>
              <w:spacing w:after="40" w:before="40"/>
            </w:pPr>
            <w:r/>
            <w:r>
              <w:rPr>
                <w:sz w:val="18"/>
              </w:rPr>
              <w:t>Redemption is generated almost purely from voucher type, capping achievable AUC at ~0.62. On real data with customer-level features (tenure, prior redemption behaviour, channel), materially higher performance would be expected.</w:t>
            </w:r>
          </w:p>
        </w:tc>
      </w:tr>
      <w:tr>
        <w:tc>
          <w:tcPr>
            <w:tcW w:type="dxa" w:w="2494"/>
          </w:tcPr>
          <w:p>
            <w:pPr>
              <w:spacing w:after="40" w:before="40"/>
            </w:pPr>
            <w:r/>
            <w:r>
              <w:rPr>
                <w:sz w:val="18"/>
              </w:rPr>
              <w:t>Synthetic data</w:t>
            </w:r>
          </w:p>
        </w:tc>
        <w:tc>
          <w:tcPr>
            <w:tcW w:type="dxa" w:w="6917"/>
          </w:tcPr>
          <w:p>
            <w:pPr>
              <w:spacing w:after="40" w:before="40"/>
            </w:pPr>
            <w:r/>
            <w:r>
              <w:rPr>
                <w:sz w:val="18"/>
              </w:rPr>
              <w:t>All findings describe the supplied synthetic dataset. The anomaly model independently recovering the four embedded patterns validates the METHOD; it does not validate the conclusions against real trading behaviour.</w:t>
            </w:r>
          </w:p>
        </w:tc>
      </w:tr>
      <w:tr>
        <w:tc>
          <w:tcPr>
            <w:tcW w:type="dxa" w:w="2494"/>
            <w:shd w:val="clear" w:fill="F2F6FB"/>
          </w:tcPr>
          <w:p>
            <w:pPr>
              <w:spacing w:after="40" w:before="40"/>
            </w:pPr>
            <w:r/>
            <w:r>
              <w:rPr>
                <w:sz w:val="18"/>
              </w:rPr>
              <w:t>No cost or margin data</w:t>
            </w:r>
          </w:p>
        </w:tc>
        <w:tc>
          <w:tcPr>
            <w:tcW w:type="dxa" w:w="6917"/>
            <w:shd w:val="clear" w:fill="F2F6FB"/>
          </w:tcPr>
          <w:p>
            <w:pPr>
              <w:spacing w:after="40" w:before="40"/>
            </w:pPr>
            <w:r/>
            <w:r>
              <w:rPr>
                <w:sz w:val="18"/>
              </w:rPr>
              <w:t>Only revenue is supplied, so merchant profitability — and therefore true commercial prioritisation — cannot be assessed. Revenue at Risk is a revenue measure, not a margin measure.</w:t>
            </w:r>
          </w:p>
        </w:tc>
      </w:tr>
    </w:tbl>
    <w:p>
      <w:pPr>
        <w:spacing w:after="80"/>
      </w:pPr>
    </w:p>
    <w:p>
      <w:r>
        <w:br w:type="page"/>
      </w:r>
    </w:p>
    <w:p>
      <w:pPr>
        <w:pStyle w:val="Heading1"/>
      </w:pPr>
      <w:r>
        <w:t>Appendix A. Evidence</w:t>
      </w:r>
    </w:p>
    <w:p>
      <w:pPr>
        <w:spacing w:after="140" w:before="0"/>
      </w:pPr>
      <w:r>
        <w:rPr>
          <w:b w:val="0"/>
          <w:i w:val="0"/>
          <w:sz w:val="21"/>
        </w:rPr>
        <w:t>5 of 21 captures. Screenshots evidence what was built in Fabric; the command output alongside them is the stronger proof, because it cannot be staged.</w:t>
      </w:r>
    </w:p>
    <w:p>
      <w:pPr>
        <w:pStyle w:val="Heading2"/>
      </w:pPr>
      <w:r>
        <w:t>Part 1 — Fabric workspace</w:t>
      </w:r>
    </w:p>
    <w:p>
      <w:pPr>
        <w:jc w:val="center"/>
      </w:pPr>
      <w:r>
        <w:drawing>
          <wp:inline xmlns:a="http://schemas.openxmlformats.org/drawingml/2006/main" xmlns:pic="http://schemas.openxmlformats.org/drawingml/2006/picture">
            <wp:extent cx="5940000" cy="3422897"/>
            <wp:docPr id="3" name="Picture 3"/>
            <wp:cNvGraphicFramePr>
              <a:graphicFrameLocks noChangeAspect="1"/>
            </wp:cNvGraphicFramePr>
            <a:graphic>
              <a:graphicData uri="http://schemas.openxmlformats.org/drawingml/2006/picture">
                <pic:pic>
                  <pic:nvPicPr>
                    <pic:cNvPr id="0" name="04_warehouse.png"/>
                    <pic:cNvPicPr/>
                  </pic:nvPicPr>
                  <pic:blipFill>
                    <a:blip r:embed="rId11"/>
                    <a:stretch>
                      <a:fillRect/>
                    </a:stretch>
                  </pic:blipFill>
                  <pic:spPr>
                    <a:xfrm>
                      <a:off x="0" y="0"/>
                      <a:ext cx="5940000" cy="3422897"/>
                    </a:xfrm>
                    <a:prstGeom prst="rect"/>
                  </pic:spPr>
                </pic:pic>
              </a:graphicData>
            </a:graphic>
          </wp:inline>
        </w:drawing>
      </w:r>
    </w:p>
    <w:p>
      <w:pPr>
        <w:spacing w:after="140" w:before="0"/>
        <w:jc w:val="center"/>
      </w:pPr>
      <w:r>
        <w:rPr>
          <w:b w:val="0"/>
          <w:i/>
          <w:color w:val="5A6672"/>
          <w:sz w:val="17"/>
        </w:rPr>
        <w:t>WH_MerchantVoucher, created through the Fabric REST API rather than by hand.</w:t>
      </w:r>
    </w:p>
    <w:p>
      <w:pPr>
        <w:pStyle w:val="Heading2"/>
      </w:pPr>
      <w:r>
        <w:t>Part 2 — dbt connected</w:t>
      </w:r>
    </w:p>
    <w:p>
      <w:pPr>
        <w:jc w:val="center"/>
      </w:pPr>
      <w:r>
        <w:drawing>
          <wp:inline xmlns:a="http://schemas.openxmlformats.org/drawingml/2006/main" xmlns:pic="http://schemas.openxmlformats.org/drawingml/2006/picture">
            <wp:extent cx="5940000" cy="2303172"/>
            <wp:docPr id="4" name="Picture 4"/>
            <wp:cNvGraphicFramePr>
              <a:graphicFrameLocks noChangeAspect="1"/>
            </wp:cNvGraphicFramePr>
            <a:graphic>
              <a:graphicData uri="http://schemas.openxmlformats.org/drawingml/2006/picture">
                <pic:pic>
                  <pic:nvPicPr>
                    <pic:cNvPr id="0" name="06_dbt_debug.png"/>
                    <pic:cNvPicPr/>
                  </pic:nvPicPr>
                  <pic:blipFill>
                    <a:blip r:embed="rId12"/>
                    <a:stretch>
                      <a:fillRect/>
                    </a:stretch>
                  </pic:blipFill>
                  <pic:spPr>
                    <a:xfrm>
                      <a:off x="0" y="0"/>
                      <a:ext cx="5940000" cy="2303172"/>
                    </a:xfrm>
                    <a:prstGeom prst="rect"/>
                  </pic:spPr>
                </pic:pic>
              </a:graphicData>
            </a:graphic>
          </wp:inline>
        </w:drawing>
      </w:r>
    </w:p>
    <w:p>
      <w:pPr>
        <w:spacing w:after="140" w:before="0"/>
        <w:jc w:val="center"/>
      </w:pPr>
      <w:r>
        <w:rPr>
          <w:b w:val="0"/>
          <w:i/>
          <w:color w:val="5A6672"/>
          <w:sz w:val="17"/>
        </w:rPr>
        <w:t>dbt debug --target fabric: All checks passed. Connection and credentials proven.</w:t>
      </w:r>
    </w:p>
    <w:p>
      <w:pPr>
        <w:jc w:val="center"/>
      </w:pPr>
      <w:r>
        <w:drawing>
          <wp:inline xmlns:a="http://schemas.openxmlformats.org/drawingml/2006/main" xmlns:pic="http://schemas.openxmlformats.org/drawingml/2006/picture">
            <wp:extent cx="5940000" cy="1879862"/>
            <wp:docPr id="5" name="Picture 5"/>
            <wp:cNvGraphicFramePr>
              <a:graphicFrameLocks noChangeAspect="1"/>
            </wp:cNvGraphicFramePr>
            <a:graphic>
              <a:graphicData uri="http://schemas.openxmlformats.org/drawingml/2006/picture">
                <pic:pic>
                  <pic:nvPicPr>
                    <pic:cNvPr id="0" name="07_dbt_seed.png"/>
                    <pic:cNvPicPr/>
                  </pic:nvPicPr>
                  <pic:blipFill>
                    <a:blip r:embed="rId13"/>
                    <a:stretch>
                      <a:fillRect/>
                    </a:stretch>
                  </pic:blipFill>
                  <pic:spPr>
                    <a:xfrm>
                      <a:off x="0" y="0"/>
                      <a:ext cx="5940000" cy="1879862"/>
                    </a:xfrm>
                    <a:prstGeom prst="rect"/>
                  </pic:spPr>
                </pic:pic>
              </a:graphicData>
            </a:graphic>
          </wp:inline>
        </w:drawing>
      </w:r>
    </w:p>
    <w:p>
      <w:pPr>
        <w:spacing w:after="140" w:before="0"/>
        <w:jc w:val="center"/>
      </w:pPr>
      <w:r>
        <w:rPr>
          <w:b w:val="0"/>
          <w:i/>
          <w:color w:val="5A6672"/>
          <w:sz w:val="17"/>
        </w:rPr>
        <w:t>dbt seed --target fabric: PASS=4. WRITE access proven, not just connection.</w:t>
      </w:r>
    </w:p>
    <w:p>
      <w:pPr>
        <w:jc w:val="center"/>
      </w:pPr>
      <w:r>
        <w:drawing>
          <wp:inline xmlns:a="http://schemas.openxmlformats.org/drawingml/2006/main" xmlns:pic="http://schemas.openxmlformats.org/drawingml/2006/picture">
            <wp:extent cx="5940000" cy="3140690"/>
            <wp:docPr id="6" name="Picture 6"/>
            <wp:cNvGraphicFramePr>
              <a:graphicFrameLocks noChangeAspect="1"/>
            </wp:cNvGraphicFramePr>
            <a:graphic>
              <a:graphicData uri="http://schemas.openxmlformats.org/drawingml/2006/picture">
                <pic:pic>
                  <pic:nvPicPr>
                    <pic:cNvPr id="0" name="08_warehouse_tables.png"/>
                    <pic:cNvPicPr/>
                  </pic:nvPicPr>
                  <pic:blipFill>
                    <a:blip r:embed="rId14"/>
                    <a:stretch>
                      <a:fillRect/>
                    </a:stretch>
                  </pic:blipFill>
                  <pic:spPr>
                    <a:xfrm>
                      <a:off x="0" y="0"/>
                      <a:ext cx="5940000" cy="3140690"/>
                    </a:xfrm>
                    <a:prstGeom prst="rect"/>
                  </pic:spPr>
                </pic:pic>
              </a:graphicData>
            </a:graphic>
          </wp:inline>
        </w:drawing>
      </w:r>
    </w:p>
    <w:p>
      <w:pPr>
        <w:spacing w:after="140" w:before="0"/>
        <w:jc w:val="center"/>
      </w:pPr>
      <w:r>
        <w:rPr>
          <w:b w:val="0"/>
          <w:i/>
          <w:color w:val="5A6672"/>
          <w:sz w:val="17"/>
        </w:rPr>
        <w:t>The same four tables seen from the Fabric side.</w:t>
      </w:r>
    </w:p>
    <w:p>
      <w:pPr>
        <w:pStyle w:val="Heading2"/>
      </w:pPr>
      <w:r>
        <w:t>Part 5 — cost control</w:t>
      </w:r>
    </w:p>
    <w:p>
      <w:pPr>
        <w:jc w:val="center"/>
      </w:pPr>
      <w:r>
        <w:drawing>
          <wp:inline xmlns:a="http://schemas.openxmlformats.org/drawingml/2006/main" xmlns:pic="http://schemas.openxmlformats.org/drawingml/2006/picture">
            <wp:extent cx="5940000" cy="2721931"/>
            <wp:docPr id="7" name="Picture 7"/>
            <wp:cNvGraphicFramePr>
              <a:graphicFrameLocks noChangeAspect="1"/>
            </wp:cNvGraphicFramePr>
            <a:graphic>
              <a:graphicData uri="http://schemas.openxmlformats.org/drawingml/2006/picture">
                <pic:pic>
                  <pic:nvPicPr>
                    <pic:cNvPr id="0" name="20_cost_guard.png"/>
                    <pic:cNvPicPr/>
                  </pic:nvPicPr>
                  <pic:blipFill>
                    <a:blip r:embed="rId15"/>
                    <a:stretch>
                      <a:fillRect/>
                    </a:stretch>
                  </pic:blipFill>
                  <pic:spPr>
                    <a:xfrm>
                      <a:off x="0" y="0"/>
                      <a:ext cx="5940000" cy="2721931"/>
                    </a:xfrm>
                    <a:prstGeom prst="rect"/>
                  </pic:spPr>
                </pic:pic>
              </a:graphicData>
            </a:graphic>
          </wp:inline>
        </w:drawing>
      </w:r>
    </w:p>
    <w:p>
      <w:pPr>
        <w:spacing w:after="140" w:before="0"/>
        <w:jc w:val="center"/>
      </w:pPr>
      <w:r>
        <w:rPr>
          <w:b w:val="0"/>
          <w:i/>
          <w:color w:val="5A6672"/>
          <w:sz w:val="17"/>
        </w:rPr>
        <w:t>fabric_cost_guard.py --check: the kill switch.</w:t>
      </w:r>
    </w:p>
    <w:p>
      <w:pPr>
        <w:pStyle w:val="Heading1"/>
        <w:pageBreakBefore/>
      </w:pPr>
      <w:r>
        <w:t>Appendix B. Fabric connection evidence</w:t>
      </w:r>
    </w:p>
    <w:p>
      <w:pPr>
        <w:spacing w:after="140" w:before="0"/>
      </w:pPr>
      <w:r>
        <w:rPr>
          <w:b w:val="0"/>
          <w:i w:val="0"/>
          <w:sz w:val="21"/>
        </w:rPr>
        <w:t>Captured from the terminal. Unlike a screenshot this can be re-run and re-verified.</w:t>
      </w:r>
    </w:p>
    <w:tbl>
      <w:tblPr>
        <w:tblStyle w:val="TableGrid"/>
        <w:tblW w:type="auto" w:w="0"/>
        <w:jc w:val="center"/>
        <w:tblLook w:firstColumn="1" w:firstRow="1" w:lastColumn="0" w:lastRow="0" w:noHBand="0" w:noVBand="1" w:val="04A0"/>
      </w:tblPr>
      <w:tblGrid>
        <w:gridCol w:w="3175"/>
        <w:gridCol w:w="3175"/>
        <w:gridCol w:w="3175"/>
      </w:tblGrid>
      <w:tr>
        <w:tc>
          <w:tcPr>
            <w:tcW w:type="dxa" w:w="2041"/>
            <w:shd w:val="clear" w:fill="12305B"/>
          </w:tcPr>
          <w:p>
            <w:pPr>
              <w:spacing w:after="40" w:before="40"/>
            </w:pPr>
            <w:r/>
            <w:r>
              <w:rPr>
                <w:b/>
                <w:color w:val="FFFFFF"/>
                <w:sz w:val="17"/>
              </w:rPr>
              <w:t>Step</w:t>
            </w:r>
          </w:p>
        </w:tc>
        <w:tc>
          <w:tcPr>
            <w:tcW w:type="dxa" w:w="3061"/>
            <w:shd w:val="clear" w:fill="12305B"/>
          </w:tcPr>
          <w:p>
            <w:pPr>
              <w:spacing w:after="40" w:before="40"/>
            </w:pPr>
            <w:r/>
            <w:r>
              <w:rPr>
                <w:b/>
                <w:color w:val="FFFFFF"/>
                <w:sz w:val="17"/>
              </w:rPr>
              <w:t>Command</w:t>
            </w:r>
          </w:p>
        </w:tc>
        <w:tc>
          <w:tcPr>
            <w:tcW w:type="dxa" w:w="4309"/>
            <w:shd w:val="clear" w:fill="12305B"/>
          </w:tcPr>
          <w:p>
            <w:pPr>
              <w:spacing w:after="40" w:before="40"/>
            </w:pPr>
            <w:r/>
            <w:r>
              <w:rPr>
                <w:b/>
                <w:color w:val="FFFFFF"/>
                <w:sz w:val="17"/>
              </w:rPr>
              <w:t>Result</w:t>
            </w:r>
          </w:p>
        </w:tc>
      </w:tr>
      <w:tr>
        <w:tc>
          <w:tcPr>
            <w:tcW w:type="dxa" w:w="2041"/>
          </w:tcPr>
          <w:p>
            <w:pPr>
              <w:spacing w:after="40" w:before="40"/>
            </w:pPr>
            <w:r/>
            <w:r>
              <w:rPr>
                <w:sz w:val="17"/>
              </w:rPr>
              <w:t>Workspace discovered</w:t>
            </w:r>
          </w:p>
        </w:tc>
        <w:tc>
          <w:tcPr>
            <w:tcW w:type="dxa" w:w="3061"/>
          </w:tcPr>
          <w:p>
            <w:pPr>
              <w:spacing w:after="40" w:before="40"/>
            </w:pPr>
            <w:r/>
            <w:r>
              <w:rPr>
                <w:sz w:val="17"/>
              </w:rPr>
              <w:t>scripts/17_fabric_connect.py</w:t>
            </w:r>
          </w:p>
        </w:tc>
        <w:tc>
          <w:tcPr>
            <w:tcW w:type="dxa" w:w="4309"/>
          </w:tcPr>
          <w:p>
            <w:pPr>
              <w:spacing w:after="40" w:before="40"/>
            </w:pPr>
            <w:r/>
            <w:r>
              <w:rPr>
                <w:sz w:val="17"/>
              </w:rPr>
              <w:t>WS_MerchantVoucher · 0f8b1362-fedb-4c4d-aecc-f788a989c6b2 · trial capacity attached</w:t>
            </w:r>
          </w:p>
        </w:tc>
      </w:tr>
      <w:tr>
        <w:tc>
          <w:tcPr>
            <w:tcW w:type="dxa" w:w="2041"/>
            <w:shd w:val="clear" w:fill="F2F6FB"/>
          </w:tcPr>
          <w:p>
            <w:pPr>
              <w:spacing w:after="40" w:before="40"/>
            </w:pPr>
            <w:r/>
            <w:r>
              <w:rPr>
                <w:sz w:val="17"/>
              </w:rPr>
              <w:t>Warehouse created</w:t>
            </w:r>
          </w:p>
        </w:tc>
        <w:tc>
          <w:tcPr>
            <w:tcW w:type="dxa" w:w="3061"/>
            <w:shd w:val="clear" w:fill="F2F6FB"/>
          </w:tcPr>
          <w:p>
            <w:pPr>
              <w:spacing w:after="40" w:before="40"/>
            </w:pPr>
            <w:r/>
            <w:r>
              <w:rPr>
                <w:sz w:val="17"/>
              </w:rPr>
              <w:t>POST /v1/workspaces/{id}/warehouses</w:t>
            </w:r>
          </w:p>
        </w:tc>
        <w:tc>
          <w:tcPr>
            <w:tcW w:type="dxa" w:w="4309"/>
            <w:shd w:val="clear" w:fill="F2F6FB"/>
          </w:tcPr>
          <w:p>
            <w:pPr>
              <w:spacing w:after="40" w:before="40"/>
            </w:pPr>
            <w:r/>
            <w:r>
              <w:rPr>
                <w:sz w:val="17"/>
              </w:rPr>
              <w:t>WH_MerchantVoucher · 278e4bef-ae60-428e-8cdc-15224bbd3c34 · provisioned</w:t>
            </w:r>
          </w:p>
        </w:tc>
      </w:tr>
      <w:tr>
        <w:tc>
          <w:tcPr>
            <w:tcW w:type="dxa" w:w="2041"/>
          </w:tcPr>
          <w:p>
            <w:pPr>
              <w:spacing w:after="40" w:before="40"/>
            </w:pPr>
            <w:r/>
            <w:r>
              <w:rPr>
                <w:sz w:val="17"/>
              </w:rPr>
              <w:t>Connection tested</w:t>
            </w:r>
          </w:p>
        </w:tc>
        <w:tc>
          <w:tcPr>
            <w:tcW w:type="dxa" w:w="3061"/>
          </w:tcPr>
          <w:p>
            <w:pPr>
              <w:spacing w:after="40" w:before="40"/>
            </w:pPr>
            <w:r/>
            <w:r>
              <w:rPr>
                <w:sz w:val="17"/>
              </w:rPr>
              <w:t>dbt debug --target fabric</w:t>
            </w:r>
          </w:p>
        </w:tc>
        <w:tc>
          <w:tcPr>
            <w:tcW w:type="dxa" w:w="4309"/>
          </w:tcPr>
          <w:p>
            <w:pPr>
              <w:spacing w:after="40" w:before="40"/>
            </w:pPr>
            <w:r/>
            <w:r>
              <w:rPr>
                <w:sz w:val="17"/>
              </w:rPr>
              <w:t>All checks passed</w:t>
            </w:r>
          </w:p>
        </w:tc>
      </w:tr>
      <w:tr>
        <w:tc>
          <w:tcPr>
            <w:tcW w:type="dxa" w:w="2041"/>
            <w:shd w:val="clear" w:fill="F2F6FB"/>
          </w:tcPr>
          <w:p>
            <w:pPr>
              <w:spacing w:after="40" w:before="40"/>
            </w:pPr>
            <w:r/>
            <w:r>
              <w:rPr>
                <w:sz w:val="17"/>
              </w:rPr>
              <w:t>Write access proven</w:t>
            </w:r>
          </w:p>
        </w:tc>
        <w:tc>
          <w:tcPr>
            <w:tcW w:type="dxa" w:w="3061"/>
            <w:shd w:val="clear" w:fill="F2F6FB"/>
          </w:tcPr>
          <w:p>
            <w:pPr>
              <w:spacing w:after="40" w:before="40"/>
            </w:pPr>
            <w:r/>
            <w:r>
              <w:rPr>
                <w:sz w:val="17"/>
              </w:rPr>
              <w:t>dbt seed --target fabric</w:t>
            </w:r>
          </w:p>
        </w:tc>
        <w:tc>
          <w:tcPr>
            <w:tcW w:type="dxa" w:w="4309"/>
            <w:shd w:val="clear" w:fill="F2F6FB"/>
          </w:tcPr>
          <w:p>
            <w:pPr>
              <w:spacing w:after="40" w:before="40"/>
            </w:pPr>
            <w:r/>
            <w:r>
              <w:rPr>
                <w:sz w:val="17"/>
              </w:rPr>
              <w:t>PASS=4 WARN=0 ERROR=0</w:t>
            </w:r>
          </w:p>
        </w:tc>
      </w:tr>
      <w:tr>
        <w:tc>
          <w:tcPr>
            <w:tcW w:type="dxa" w:w="2041"/>
          </w:tcPr>
          <w:p>
            <w:pPr>
              <w:spacing w:after="40" w:before="40"/>
            </w:pPr>
            <w:r/>
            <w:r>
              <w:rPr>
                <w:sz w:val="17"/>
              </w:rPr>
              <w:t>Models against Fabric</w:t>
            </w:r>
          </w:p>
        </w:tc>
        <w:tc>
          <w:tcPr>
            <w:tcW w:type="dxa" w:w="3061"/>
          </w:tcPr>
          <w:p>
            <w:pPr>
              <w:spacing w:after="40" w:before="40"/>
            </w:pPr>
            <w:r/>
            <w:r>
              <w:rPr>
                <w:sz w:val="17"/>
              </w:rPr>
              <w:t>dbt run --target fabric</w:t>
            </w:r>
          </w:p>
        </w:tc>
        <w:tc>
          <w:tcPr>
            <w:tcW w:type="dxa" w:w="4309"/>
          </w:tcPr>
          <w:p>
            <w:pPr>
              <w:spacing w:after="40" w:before="40"/>
            </w:pPr>
            <w:r/>
            <w:r>
              <w:rPr>
                <w:sz w:val="17"/>
              </w:rPr>
              <w:t>FAILED — models are DuckDB dialect. Documented in section 4; the port is outstanding</w:t>
            </w:r>
          </w:p>
        </w:tc>
      </w:tr>
      <w:tr>
        <w:tc>
          <w:tcPr>
            <w:tcW w:type="dxa" w:w="2041"/>
            <w:shd w:val="clear" w:fill="F2F6FB"/>
          </w:tcPr>
          <w:p>
            <w:pPr>
              <w:spacing w:after="40" w:before="40"/>
            </w:pPr>
            <w:r/>
            <w:r>
              <w:rPr>
                <w:sz w:val="17"/>
              </w:rPr>
              <w:t>Local build</w:t>
            </w:r>
          </w:p>
        </w:tc>
        <w:tc>
          <w:tcPr>
            <w:tcW w:type="dxa" w:w="3061"/>
            <w:shd w:val="clear" w:fill="F2F6FB"/>
          </w:tcPr>
          <w:p>
            <w:pPr>
              <w:spacing w:after="40" w:before="40"/>
            </w:pPr>
            <w:r/>
            <w:r>
              <w:rPr>
                <w:sz w:val="17"/>
              </w:rPr>
              <w:t>dbt build (DuckDB)</w:t>
            </w:r>
          </w:p>
        </w:tc>
        <w:tc>
          <w:tcPr>
            <w:tcW w:type="dxa" w:w="4309"/>
            <w:shd w:val="clear" w:fill="F2F6FB"/>
          </w:tcPr>
          <w:p>
            <w:pPr>
              <w:spacing w:after="40" w:before="40"/>
            </w:pPr>
            <w:r/>
            <w:r>
              <w:rPr>
                <w:sz w:val="17"/>
              </w:rPr>
              <w:t>156 pass, 0 warn, 0 error</w:t>
            </w:r>
          </w:p>
        </w:tc>
      </w:tr>
      <w:tr>
        <w:tc>
          <w:tcPr>
            <w:tcW w:type="dxa" w:w="2041"/>
          </w:tcPr>
          <w:p>
            <w:pPr>
              <w:spacing w:after="40" w:before="40"/>
            </w:pPr>
            <w:r/>
            <w:r>
              <w:rPr>
                <w:sz w:val="17"/>
              </w:rPr>
              <w:t>Idempotency</w:t>
            </w:r>
          </w:p>
        </w:tc>
        <w:tc>
          <w:tcPr>
            <w:tcW w:type="dxa" w:w="3061"/>
          </w:tcPr>
          <w:p>
            <w:pPr>
              <w:spacing w:after="40" w:before="40"/>
            </w:pPr>
            <w:r/>
            <w:r>
              <w:rPr>
                <w:sz w:val="17"/>
              </w:rPr>
              <w:t>scripts/15_test_idempotency.py</w:t>
            </w:r>
          </w:p>
        </w:tc>
        <w:tc>
          <w:tcPr>
            <w:tcW w:type="dxa" w:w="4309"/>
          </w:tcPr>
          <w:p>
            <w:pPr>
              <w:spacing w:after="40" w:before="40"/>
            </w:pPr>
            <w:r/>
            <w:r>
              <w:rPr>
                <w:sz w:val="17"/>
              </w:rPr>
              <w:t>33/33 — pipeline re-run produces identical output</w:t>
            </w:r>
          </w:p>
        </w:tc>
      </w:tr>
    </w:tbl>
    <w:p>
      <w:pPr>
        <w:spacing w:after="80"/>
      </w:pPr>
    </w:p>
    <w:tbl>
      <w:tblPr>
        <w:tblStyle w:val="TableGrid"/>
        <w:tblW w:type="auto" w:w="0"/>
        <w:tblLook w:firstColumn="1" w:firstRow="1" w:lastColumn="0" w:lastRow="0" w:noHBand="0" w:noVBand="1" w:val="04A0"/>
      </w:tblPr>
      <w:tblGrid>
        <w:gridCol w:w="9524"/>
      </w:tblGrid>
      <w:tr>
        <w:tc>
          <w:tcPr>
            <w:tcW w:type="dxa" w:w="9524"/>
            <w:shd w:val="clear" w:fill="FEF8EC"/>
          </w:tcPr>
          <w:p>
            <w:r/>
            <w:r>
              <w:rPr>
                <w:b/>
                <w:color w:val="E8A317"/>
                <w:sz w:val="20"/>
              </w:rPr>
              <w:t>Stated plainly</w:t>
            </w:r>
          </w:p>
          <w:p>
            <w:pPr>
              <w:spacing w:after="60"/>
            </w:pPr>
            <w:r>
              <w:rPr>
                <w:sz w:val="19"/>
              </w:rPr>
              <w:t>dbt connects to Fabric, authenticates and writes. It does NOT yet run the transformation models there: they were written in DuckDB dialect and T-SQL rejects datediff('month', ...) among others. That is a real gap, it is listed in the limitations, and it was only discovered by connecting — which is the argument for connecting rather than describing.</w:t>
            </w:r>
          </w:p>
        </w:tc>
      </w:tr>
    </w:tbl>
    <w:p>
      <w:pPr>
        <w:spacing w:after="80"/>
      </w:pPr>
    </w:p>
    <w:p>
      <w:r>
        <w:br w:type="page"/>
      </w:r>
    </w:p>
    <w:p>
      <w:pPr>
        <w:pStyle w:val="Heading1"/>
      </w:pPr>
      <w:r>
        <w:t>10. Deliverables and how to run</w:t>
      </w:r>
    </w:p>
    <w:tbl>
      <w:tblPr>
        <w:tblStyle w:val="TableGrid"/>
        <w:tblW w:type="auto" w:w="0"/>
        <w:jc w:val="center"/>
        <w:tblLook w:firstColumn="1" w:firstRow="1" w:lastColumn="0" w:lastRow="0" w:noHBand="0" w:noVBand="1" w:val="04A0"/>
      </w:tblPr>
      <w:tblGrid>
        <w:gridCol w:w="4762"/>
        <w:gridCol w:w="4762"/>
      </w:tblGrid>
      <w:tr>
        <w:tc>
          <w:tcPr>
            <w:tcW w:type="dxa" w:w="2608"/>
            <w:shd w:val="clear" w:fill="12305B"/>
          </w:tcPr>
          <w:p>
            <w:pPr>
              <w:spacing w:after="40" w:before="40"/>
            </w:pPr>
            <w:r/>
            <w:r>
              <w:rPr>
                <w:b/>
                <w:color w:val="FFFFFF"/>
                <w:sz w:val="18"/>
              </w:rPr>
              <w:t>Path</w:t>
            </w:r>
          </w:p>
        </w:tc>
        <w:tc>
          <w:tcPr>
            <w:tcW w:type="dxa" w:w="6803"/>
            <w:shd w:val="clear" w:fill="12305B"/>
          </w:tcPr>
          <w:p>
            <w:pPr>
              <w:spacing w:after="40" w:before="40"/>
            </w:pPr>
            <w:r/>
            <w:r>
              <w:rPr>
                <w:b/>
                <w:color w:val="FFFFFF"/>
                <w:sz w:val="18"/>
              </w:rPr>
              <w:t>Contents</w:t>
            </w:r>
          </w:p>
        </w:tc>
      </w:tr>
      <w:tr>
        <w:tc>
          <w:tcPr>
            <w:tcW w:type="dxa" w:w="2608"/>
          </w:tcPr>
          <w:p>
            <w:pPr>
              <w:spacing w:after="40" w:before="40"/>
            </w:pPr>
            <w:r/>
            <w:r>
              <w:rPr>
                <w:sz w:val="18"/>
              </w:rPr>
              <w:t>report/dashboard.html</w:t>
            </w:r>
          </w:p>
        </w:tc>
        <w:tc>
          <w:tcPr>
            <w:tcW w:type="dxa" w:w="6803"/>
          </w:tcPr>
          <w:p>
            <w:pPr>
              <w:spacing w:after="40" w:before="40"/>
            </w:pPr>
            <w:r/>
            <w:r>
              <w:rPr>
                <w:sz w:val="18"/>
              </w:rPr>
              <w:t>Interactive 6-page dashboard replicating the Power BI report, plus a build walkthrough. Fully self-contained — opens in any browser with no dependencies.</w:t>
            </w:r>
          </w:p>
        </w:tc>
      </w:tr>
      <w:tr>
        <w:tc>
          <w:tcPr>
            <w:tcW w:type="dxa" w:w="2608"/>
            <w:shd w:val="clear" w:fill="F2F6FB"/>
          </w:tcPr>
          <w:p>
            <w:pPr>
              <w:spacing w:after="40" w:before="40"/>
            </w:pPr>
            <w:r/>
            <w:r>
              <w:rPr>
                <w:sz w:val="18"/>
              </w:rPr>
              <w:t>report/…Submission.docx</w:t>
            </w:r>
          </w:p>
        </w:tc>
        <w:tc>
          <w:tcPr>
            <w:tcW w:type="dxa" w:w="6803"/>
            <w:shd w:val="clear" w:fill="F2F6FB"/>
          </w:tcPr>
          <w:p>
            <w:pPr>
              <w:spacing w:after="40" w:before="40"/>
            </w:pPr>
            <w:r/>
            <w:r>
              <w:rPr>
                <w:sz w:val="18"/>
              </w:rPr>
              <w:t>This document.</w:t>
            </w:r>
          </w:p>
        </w:tc>
      </w:tr>
      <w:tr>
        <w:tc>
          <w:tcPr>
            <w:tcW w:type="dxa" w:w="2608"/>
          </w:tcPr>
          <w:p>
            <w:pPr>
              <w:spacing w:after="40" w:before="40"/>
            </w:pPr>
            <w:r/>
            <w:r>
              <w:rPr>
                <w:sz w:val="18"/>
              </w:rPr>
              <w:t>excel/…Report.xlsx</w:t>
            </w:r>
          </w:p>
        </w:tc>
        <w:tc>
          <w:tcPr>
            <w:tcW w:type="dxa" w:w="6803"/>
          </w:tcPr>
          <w:p>
            <w:pPr>
              <w:spacing w:after="40" w:before="40"/>
            </w:pPr>
            <w:r/>
            <w:r>
              <w:rPr>
                <w:sz w:val="18"/>
              </w:rPr>
              <w:t>10-sheet Excel pack: exec summary, merchant scorecard, voucher analysis, operational view, anomalies, ML results, business questions, data dictionary, assumptions.</w:t>
            </w:r>
          </w:p>
        </w:tc>
      </w:tr>
      <w:tr>
        <w:tc>
          <w:tcPr>
            <w:tcW w:type="dxa" w:w="2608"/>
            <w:shd w:val="clear" w:fill="F2F6FB"/>
          </w:tcPr>
          <w:p>
            <w:pPr>
              <w:spacing w:after="40" w:before="40"/>
            </w:pPr>
            <w:r/>
            <w:r>
              <w:rPr>
                <w:sz w:val="18"/>
              </w:rPr>
              <w:t>dbt/</w:t>
            </w:r>
          </w:p>
        </w:tc>
        <w:tc>
          <w:tcPr>
            <w:tcW w:type="dxa" w:w="6803"/>
            <w:shd w:val="clear" w:fill="F2F6FB"/>
          </w:tcPr>
          <w:p>
            <w:pPr>
              <w:spacing w:after="40" w:before="40"/>
            </w:pPr>
            <w:r/>
            <w:r>
              <w:rPr>
                <w:sz w:val="18"/>
              </w:rPr>
              <w:t>13 models, 69 tests, 3 seeds, 3 exposures, macros. Runs on DuckDB (dev) or Fabric Warehouse (prod).</w:t>
            </w:r>
          </w:p>
        </w:tc>
      </w:tr>
      <w:tr>
        <w:tc>
          <w:tcPr>
            <w:tcW w:type="dxa" w:w="2608"/>
          </w:tcPr>
          <w:p>
            <w:pPr>
              <w:spacing w:after="40" w:before="40"/>
            </w:pPr>
            <w:r/>
            <w:r>
              <w:rPr>
                <w:sz w:val="18"/>
              </w:rPr>
              <w:t>sql/</w:t>
            </w:r>
          </w:p>
        </w:tc>
        <w:tc>
          <w:tcPr>
            <w:tcW w:type="dxa" w:w="6803"/>
          </w:tcPr>
          <w:p>
            <w:pPr>
              <w:spacing w:after="40" w:before="40"/>
            </w:pPr>
            <w:r/>
            <w:r>
              <w:rPr>
                <w:sz w:val="18"/>
              </w:rPr>
              <w:t>Fabric Warehouse DDL and the business-question queries.</w:t>
            </w:r>
          </w:p>
        </w:tc>
      </w:tr>
      <w:tr>
        <w:tc>
          <w:tcPr>
            <w:tcW w:type="dxa" w:w="2608"/>
            <w:shd w:val="clear" w:fill="F2F6FB"/>
          </w:tcPr>
          <w:p>
            <w:pPr>
              <w:spacing w:after="40" w:before="40"/>
            </w:pPr>
            <w:r/>
            <w:r>
              <w:rPr>
                <w:sz w:val="18"/>
              </w:rPr>
              <w:t>notebooks/</w:t>
            </w:r>
          </w:p>
        </w:tc>
        <w:tc>
          <w:tcPr>
            <w:tcW w:type="dxa" w:w="6803"/>
            <w:shd w:val="clear" w:fill="F2F6FB"/>
          </w:tcPr>
          <w:p>
            <w:pPr>
              <w:spacing w:after="40" w:before="40"/>
            </w:pPr>
            <w:r/>
            <w:r>
              <w:rPr>
                <w:sz w:val="18"/>
              </w:rPr>
              <w:t>Fabric PySpark notebooks: bronze→silver, ML scoring with MLflow.</w:t>
            </w:r>
          </w:p>
        </w:tc>
      </w:tr>
      <w:tr>
        <w:tc>
          <w:tcPr>
            <w:tcW w:type="dxa" w:w="2608"/>
          </w:tcPr>
          <w:p>
            <w:pPr>
              <w:spacing w:after="40" w:before="40"/>
            </w:pPr>
            <w:r/>
            <w:r>
              <w:rPr>
                <w:sz w:val="18"/>
              </w:rPr>
              <w:t>datafactory/</w:t>
            </w:r>
          </w:p>
        </w:tc>
        <w:tc>
          <w:tcPr>
            <w:tcW w:type="dxa" w:w="6803"/>
          </w:tcPr>
          <w:p>
            <w:pPr>
              <w:spacing w:after="40" w:before="40"/>
            </w:pPr>
            <w:r/>
            <w:r>
              <w:rPr>
                <w:sz w:val="18"/>
              </w:rPr>
              <w:t>Pipeline JSON, schedule trigger, and the design rationale.</w:t>
            </w:r>
          </w:p>
        </w:tc>
      </w:tr>
      <w:tr>
        <w:tc>
          <w:tcPr>
            <w:tcW w:type="dxa" w:w="2608"/>
            <w:shd w:val="clear" w:fill="F2F6FB"/>
          </w:tcPr>
          <w:p>
            <w:pPr>
              <w:spacing w:after="40" w:before="40"/>
            </w:pPr>
            <w:r/>
            <w:r>
              <w:rPr>
                <w:sz w:val="18"/>
              </w:rPr>
              <w:t>dax/</w:t>
            </w:r>
          </w:p>
        </w:tc>
        <w:tc>
          <w:tcPr>
            <w:tcW w:type="dxa" w:w="6803"/>
            <w:shd w:val="clear" w:fill="F2F6FB"/>
          </w:tcPr>
          <w:p>
            <w:pPr>
              <w:spacing w:after="40" w:before="40"/>
            </w:pPr>
            <w:r/>
            <w:r>
              <w:rPr>
                <w:sz w:val="18"/>
              </w:rPr>
              <w:t>31+ DAX measures across 4 files, with commentary on each convention.</w:t>
            </w:r>
          </w:p>
        </w:tc>
      </w:tr>
      <w:tr>
        <w:tc>
          <w:tcPr>
            <w:tcW w:type="dxa" w:w="2608"/>
          </w:tcPr>
          <w:p>
            <w:pPr>
              <w:spacing w:after="40" w:before="40"/>
            </w:pPr>
            <w:r/>
            <w:r>
              <w:rPr>
                <w:sz w:val="18"/>
              </w:rPr>
              <w:t>scripts/</w:t>
            </w:r>
          </w:p>
        </w:tc>
        <w:tc>
          <w:tcPr>
            <w:tcW w:type="dxa" w:w="6803"/>
          </w:tcPr>
          <w:p>
            <w:pPr>
              <w:spacing w:after="40" w:before="40"/>
            </w:pPr>
            <w:r/>
            <w:r>
              <w:rPr>
                <w:sz w:val="18"/>
              </w:rPr>
              <w:t>Runnable reference implementation: profile, warehouse, analytics, ML, reconciliation, DAX validation, Excel, dashboard.</w:t>
            </w:r>
          </w:p>
        </w:tc>
      </w:tr>
      <w:tr>
        <w:tc>
          <w:tcPr>
            <w:tcW w:type="dxa" w:w="2608"/>
            <w:shd w:val="clear" w:fill="F2F6FB"/>
          </w:tcPr>
          <w:p>
            <w:pPr>
              <w:spacing w:after="40" w:before="40"/>
            </w:pPr>
            <w:r/>
            <w:r>
              <w:rPr>
                <w:sz w:val="18"/>
              </w:rPr>
              <w:t>data/</w:t>
            </w:r>
          </w:p>
        </w:tc>
        <w:tc>
          <w:tcPr>
            <w:tcW w:type="dxa" w:w="6803"/>
            <w:shd w:val="clear" w:fill="F2F6FB"/>
          </w:tcPr>
          <w:p>
            <w:pPr>
              <w:spacing w:after="40" w:before="40"/>
            </w:pPr>
            <w:r/>
            <w:r>
              <w:rPr>
                <w:sz w:val="18"/>
              </w:rPr>
              <w:t>bronze / silver / gold / analytics / ml layers as parquet, plus mvi.duckdb.</w:t>
            </w:r>
          </w:p>
        </w:tc>
      </w:tr>
      <w:tr>
        <w:tc>
          <w:tcPr>
            <w:tcW w:type="dxa" w:w="2608"/>
          </w:tcPr>
          <w:p>
            <w:pPr>
              <w:spacing w:after="40" w:before="40"/>
            </w:pPr>
            <w:r/>
            <w:r>
              <w:rPr>
                <w:sz w:val="18"/>
              </w:rPr>
              <w:t>docs/</w:t>
            </w:r>
          </w:p>
        </w:tc>
        <w:tc>
          <w:tcPr>
            <w:tcW w:type="dxa" w:w="6803"/>
          </w:tcPr>
          <w:p>
            <w:pPr>
              <w:spacing w:after="40" w:before="40"/>
            </w:pPr>
            <w:r/>
            <w:r>
              <w:rPr>
                <w:sz w:val="18"/>
              </w:rPr>
              <w:t>Profile report, analytics summary, ML summary, reconciliation, DAX validation.</w:t>
            </w:r>
          </w:p>
        </w:tc>
      </w:tr>
    </w:tbl>
    <w:p>
      <w:pPr>
        <w:spacing w:after="80"/>
      </w:pPr>
    </w:p>
    <w:p>
      <w:pPr>
        <w:pStyle w:val="Heading2"/>
      </w:pPr>
      <w:r>
        <w:t>Reproducing the results</w:t>
      </w:r>
    </w:p>
    <w:p>
      <w:pPr>
        <w:spacing w:after="80" w:before="0"/>
      </w:pPr>
      <w:r>
        <w:rPr>
          <w:b w:val="0"/>
          <w:i w:val="0"/>
          <w:sz w:val="21"/>
        </w:rPr>
        <w:t>The full pipeline runs end to end in under two minutes:</w:t>
      </w:r>
    </w:p>
    <w:p>
      <w:pPr>
        <w:spacing w:after="20"/>
      </w:pPr>
      <w:r>
        <w:rPr>
          <w:rFonts w:ascii="Consolas" w:hAnsi="Consolas"/>
          <w:color w:val="12305B"/>
          <w:sz w:val="18"/>
        </w:rPr>
        <w:t xml:space="preserve">  python scripts/01_profile.py</w:t>
      </w:r>
    </w:p>
    <w:p>
      <w:pPr>
        <w:spacing w:after="20"/>
      </w:pPr>
      <w:r>
        <w:rPr>
          <w:rFonts w:ascii="Consolas" w:hAnsi="Consolas"/>
          <w:color w:val="12305B"/>
          <w:sz w:val="18"/>
        </w:rPr>
        <w:t xml:space="preserve">  python scripts/02_build_warehouse.py</w:t>
      </w:r>
    </w:p>
    <w:p>
      <w:pPr>
        <w:spacing w:after="20"/>
      </w:pPr>
      <w:r>
        <w:rPr>
          <w:rFonts w:ascii="Consolas" w:hAnsi="Consolas"/>
          <w:color w:val="12305B"/>
          <w:sz w:val="18"/>
        </w:rPr>
        <w:t xml:space="preserve">  python scripts/03_analytics.py</w:t>
      </w:r>
    </w:p>
    <w:p>
      <w:pPr>
        <w:spacing w:after="20"/>
      </w:pPr>
      <w:r>
        <w:rPr>
          <w:rFonts w:ascii="Consolas" w:hAnsi="Consolas"/>
          <w:color w:val="12305B"/>
          <w:sz w:val="18"/>
        </w:rPr>
        <w:t xml:space="preserve">  python scripts/04_ml_models.py</w:t>
      </w:r>
    </w:p>
    <w:p>
      <w:pPr>
        <w:spacing w:after="20"/>
      </w:pPr>
      <w:r>
        <w:rPr>
          <w:rFonts w:ascii="Consolas" w:hAnsi="Consolas"/>
          <w:color w:val="12305B"/>
          <w:sz w:val="18"/>
        </w:rPr>
        <w:t xml:space="preserve">  cd dbt &amp;&amp; dbt seed &amp;&amp; dbt run &amp;&amp; dbt test</w:t>
      </w:r>
    </w:p>
    <w:p>
      <w:pPr>
        <w:spacing w:after="20"/>
      </w:pPr>
      <w:r>
        <w:rPr>
          <w:rFonts w:ascii="Consolas" w:hAnsi="Consolas"/>
          <w:color w:val="12305B"/>
          <w:sz w:val="18"/>
        </w:rPr>
        <w:t xml:space="preserve">  python scripts/05_reconcile.py</w:t>
      </w:r>
    </w:p>
    <w:p>
      <w:pPr>
        <w:spacing w:after="20"/>
      </w:pPr>
      <w:r>
        <w:rPr>
          <w:rFonts w:ascii="Consolas" w:hAnsi="Consolas"/>
          <w:color w:val="12305B"/>
          <w:sz w:val="18"/>
        </w:rPr>
        <w:t xml:space="preserve">  python scripts/06_validate_dax.py</w:t>
      </w:r>
    </w:p>
    <w:p>
      <w:pPr>
        <w:spacing w:after="20"/>
      </w:pPr>
      <w:r>
        <w:rPr>
          <w:rFonts w:ascii="Consolas" w:hAnsi="Consolas"/>
          <w:color w:val="12305B"/>
          <w:sz w:val="18"/>
        </w:rPr>
        <w:t xml:space="preserve">  python scripts/07_build_excel.py</w:t>
      </w:r>
    </w:p>
    <w:p>
      <w:pPr>
        <w:spacing w:after="20"/>
      </w:pPr>
      <w:r>
        <w:rPr>
          <w:rFonts w:ascii="Consolas" w:hAnsi="Consolas"/>
          <w:color w:val="12305B"/>
          <w:sz w:val="18"/>
        </w:rPr>
        <w:t xml:space="preserve">  python scripts/08_build_dashboard.py</w:t>
      </w:r>
    </w:p>
    <w:p/>
    <w:tbl>
      <w:tblPr>
        <w:tblStyle w:val="TableGrid"/>
        <w:tblW w:type="auto" w:w="0"/>
        <w:tblLook w:firstColumn="1" w:firstRow="1" w:lastColumn="0" w:lastRow="0" w:noHBand="0" w:noVBand="1" w:val="04A0"/>
      </w:tblPr>
      <w:tblGrid>
        <w:gridCol w:w="9524"/>
      </w:tblGrid>
      <w:tr>
        <w:tc>
          <w:tcPr>
            <w:tcW w:type="dxa" w:w="9524"/>
            <w:shd w:val="clear" w:fill="EEF3F9"/>
          </w:tcPr>
          <w:p>
            <w:r/>
            <w:r>
              <w:rPr>
                <w:b/>
                <w:color w:val="12305B"/>
                <w:sz w:val="20"/>
              </w:rPr>
              <w:t>A closing note on verification</w:t>
            </w:r>
          </w:p>
          <w:p>
            <w:pPr>
              <w:spacing w:after="60"/>
            </w:pPr>
            <w:r>
              <w:rPr>
                <w:sz w:val="19"/>
              </w:rPr>
              <w:t>Three claims in this submission are independently checkable rather than asserted. The gold layer is built twice by different engines and reconciles to the cent. Every DAX measure has a SQL-derived expected value in docs/dax_validation.csv. And the anomaly model recovered all four deliberately embedded patterns without being told what they were. Where a result was weak or a correlation was confounded, that is stated in the report rather than smoothed over — which is the more useful habit in a BI function, because the cost of a confident wrong number is far higher than the cost of an honest caveat.</w:t>
            </w:r>
          </w:p>
        </w:tc>
      </w:tr>
    </w:tbl>
    <w:p>
      <w:pPr>
        <w:spacing w:after="80"/>
      </w:pPr>
    </w:p>
    <w:p>
      <w:r>
        <w:br w:type="page"/>
      </w:r>
    </w:p>
    <w:p>
      <w:pPr>
        <w:pStyle w:val="Heading1"/>
      </w:pPr>
      <w:r>
        <w:t>Appendix C. Live Fabric execution evidence</w:t>
      </w:r>
    </w:p>
    <w:p>
      <w:r>
        <w:t>The original notebook capture below records the starting state in Microsoft Fabric. The cell was configured as PySpark (Python), so the T-SQL statement was parsed as Python and returned SyntaxError. The correction was to execute Fabric-compatible T-SQL against the Warehouse SQL endpoint.</w:t>
      </w:r>
    </w:p>
    <w:p>
      <w:pPr>
        <w:spacing w:before="80" w:after="60"/>
        <w:jc w:val="center"/>
      </w:pPr>
      <w:r>
        <w:drawing>
          <wp:inline xmlns:a="http://schemas.openxmlformats.org/drawingml/2006/main" xmlns:pic="http://schemas.openxmlformats.org/drawingml/2006/picture">
            <wp:extent cx="5852160" cy="3290233"/>
            <wp:docPr id="8" name="Picture 8"/>
            <wp:cNvGraphicFramePr>
              <a:graphicFrameLocks noChangeAspect="1"/>
            </wp:cNvGraphicFramePr>
            <a:graphic>
              <a:graphicData uri="http://schemas.openxmlformats.org/drawingml/2006/picture">
                <pic:pic>
                  <pic:nvPicPr>
                    <pic:cNvPr id="0" name="codex-clipboard-037b1d3e-a08a-4f99-8202-4b10e0434d61.png"/>
                    <pic:cNvPicPr/>
                  </pic:nvPicPr>
                  <pic:blipFill>
                    <a:blip r:embed="rId16"/>
                    <a:stretch>
                      <a:fillRect/>
                    </a:stretch>
                  </pic:blipFill>
                  <pic:spPr>
                    <a:xfrm>
                      <a:off x="0" y="0"/>
                      <a:ext cx="5852160" cy="3290233"/>
                    </a:xfrm>
                    <a:prstGeom prst="rect"/>
                  </pic:spPr>
                </pic:pic>
              </a:graphicData>
            </a:graphic>
          </wp:inline>
        </w:drawing>
      </w:r>
    </w:p>
    <w:p>
      <w:pPr>
        <w:pStyle w:val="Caption"/>
        <w:spacing w:after="180"/>
        <w:jc w:val="center"/>
      </w:pPr>
      <w:r>
        <w:rPr>
          <w:i/>
        </w:rPr>
        <w:t>Figure C.1 - Fabric notebook attached to WH_MerchantVoucher before correction; the cell language is PySpark (Python), which explains the syntax error.</w:t>
      </w:r>
    </w:p>
    <w:p>
      <w:pPr>
        <w:pStyle w:val="Heading2"/>
      </w:pPr>
      <w:r>
        <w:t>Gold load and verification</w:t>
      </w:r>
    </w:p>
    <w:p>
      <w:r>
        <w:t>The locally verified gold exports were staged in LH_MerchantVoucher through OneLake. The missing main_marts schema and tables were then created in WH_MerchantVoucher and loaded with the Warehouse COPY INTO statement under the signed-in Entra identity. The query below was executed afterwards through the live Fabric SQL endpoint.</w:t>
      </w:r>
    </w:p>
    <w:p>
      <w:pPr>
        <w:spacing w:before="80" w:after="60"/>
        <w:jc w:val="center"/>
      </w:pPr>
      <w:r>
        <w:drawing>
          <wp:inline xmlns:a="http://schemas.openxmlformats.org/drawingml/2006/main" xmlns:pic="http://schemas.openxmlformats.org/drawingml/2006/picture">
            <wp:extent cx="5852160" cy="2360371"/>
            <wp:docPr id="9" name="Picture 9"/>
            <wp:cNvGraphicFramePr>
              <a:graphicFrameLocks noChangeAspect="1"/>
            </wp:cNvGraphicFramePr>
            <a:graphic>
              <a:graphicData uri="http://schemas.openxmlformats.org/drawingml/2006/picture">
                <pic:pic>
                  <pic:nvPicPr>
                    <pic:cNvPr id="0" name="fabric_gold_counts.png"/>
                    <pic:cNvPicPr/>
                  </pic:nvPicPr>
                  <pic:blipFill>
                    <a:blip r:embed="rId17"/>
                    <a:stretch>
                      <a:fillRect/>
                    </a:stretch>
                  </pic:blipFill>
                  <pic:spPr>
                    <a:xfrm>
                      <a:off x="0" y="0"/>
                      <a:ext cx="5852160" cy="2360371"/>
                    </a:xfrm>
                    <a:prstGeom prst="rect"/>
                  </pic:spPr>
                </pic:pic>
              </a:graphicData>
            </a:graphic>
          </wp:inline>
        </w:drawing>
      </w:r>
    </w:p>
    <w:p>
      <w:pPr>
        <w:pStyle w:val="Caption"/>
        <w:spacing w:after="180"/>
        <w:jc w:val="center"/>
      </w:pPr>
      <w:r>
        <w:rPr>
          <w:i/>
        </w:rPr>
        <w:t>Figure C.2 - Live WH_MerchantVoucher row-count verification after the OneLake to Warehouse COPY INTO load.</w:t>
      </w:r>
    </w:p>
    <w:p>
      <w:pPr>
        <w:pStyle w:val="Heading2"/>
      </w:pPr>
      <w:r>
        <w:t>Executed report queries</w:t>
      </w:r>
    </w:p>
    <w:p>
      <w:r>
        <w:t>All eight statements in the SQL report pack were ported from DuckDB syntax to Fabric Warehouse T-SQL and executed successfully. The required rewrites were TOP for LIMIT, window logic for MAX_BY, PERCENTILE_CONT for MEDIAN/QUANTILE_CONT, BIT predicates for Boolean conditions, and CONVERT for STRFTIME.</w:t>
      </w:r>
    </w:p>
    <w:tbl>
      <w:tblPr>
        <w:tblStyle w:val="TableGrid"/>
        <w:tblW w:type="auto" w:w="0"/>
        <w:tblLook w:firstColumn="1" w:firstRow="1" w:lastColumn="0" w:lastRow="0" w:noHBand="0" w:noVBand="1" w:val="04A0"/>
      </w:tblPr>
      <w:tblGrid>
        <w:gridCol w:w="3175"/>
        <w:gridCol w:w="3175"/>
        <w:gridCol w:w="3175"/>
      </w:tblGrid>
      <w:tr>
        <w:tc>
          <w:tcPr>
            <w:tcW w:type="dxa" w:w="3175"/>
          </w:tcPr>
          <w:p>
            <w:r>
              <w:t>Query</w:t>
            </w:r>
          </w:p>
        </w:tc>
        <w:tc>
          <w:tcPr>
            <w:tcW w:type="dxa" w:w="3175"/>
          </w:tcPr>
          <w:p>
            <w:r>
              <w:t>Business question</w:t>
            </w:r>
          </w:p>
        </w:tc>
        <w:tc>
          <w:tcPr>
            <w:tcW w:type="dxa" w:w="3175"/>
          </w:tcPr>
          <w:p>
            <w:r>
              <w:t>Rows returned</w:t>
            </w:r>
          </w:p>
        </w:tc>
      </w:tr>
      <w:tr>
        <w:tc>
          <w:tcPr>
            <w:tcW w:type="dxa" w:w="3175"/>
          </w:tcPr>
          <w:p>
            <w:r>
              <w:t>Q1</w:t>
            </w:r>
          </w:p>
        </w:tc>
        <w:tc>
          <w:tcPr>
            <w:tcW w:type="dxa" w:w="3175"/>
          </w:tcPr>
          <w:p>
            <w:r>
              <w:t>Top merchants by value and volume</w:t>
            </w:r>
          </w:p>
        </w:tc>
        <w:tc>
          <w:tcPr>
            <w:tcW w:type="dxa" w:w="3175"/>
          </w:tcPr>
          <w:p>
            <w:r>
              <w:t>10</w:t>
            </w:r>
          </w:p>
        </w:tc>
      </w:tr>
      <w:tr>
        <w:tc>
          <w:tcPr>
            <w:tcW w:type="dxa" w:w="3175"/>
          </w:tcPr>
          <w:p>
            <w:r>
              <w:t>Q2</w:t>
            </w:r>
          </w:p>
        </w:tc>
        <w:tc>
          <w:tcPr>
            <w:tcW w:type="dxa" w:w="3175"/>
          </w:tcPr>
          <w:p>
            <w:r>
              <w:t>Redemption rate by voucher type</w:t>
            </w:r>
          </w:p>
        </w:tc>
        <w:tc>
          <w:tcPr>
            <w:tcW w:type="dxa" w:w="3175"/>
          </w:tcPr>
          <w:p>
            <w:r>
              <w:t>5</w:t>
            </w:r>
          </w:p>
        </w:tc>
      </w:tr>
      <w:tr>
        <w:tc>
          <w:tcPr>
            <w:tcW w:type="dxa" w:w="3175"/>
          </w:tcPr>
          <w:p>
            <w:r>
              <w:t>Q3</w:t>
            </w:r>
          </w:p>
        </w:tc>
        <w:tc>
          <w:tcPr>
            <w:tcW w:type="dxa" w:w="3175"/>
          </w:tcPr>
          <w:p>
            <w:r>
              <w:t>Regional trend against own peak</w:t>
            </w:r>
          </w:p>
        </w:tc>
        <w:tc>
          <w:tcPr>
            <w:tcW w:type="dxa" w:w="3175"/>
          </w:tcPr>
          <w:p>
            <w:r>
              <w:t>5</w:t>
            </w:r>
          </w:p>
        </w:tc>
      </w:tr>
      <w:tr>
        <w:tc>
          <w:tcPr>
            <w:tcW w:type="dxa" w:w="3175"/>
          </w:tcPr>
          <w:p>
            <w:r>
              <w:t>Q4</w:t>
            </w:r>
          </w:p>
        </w:tc>
        <w:tc>
          <w:tcPr>
            <w:tcW w:type="dxa" w:w="3175"/>
          </w:tcPr>
          <w:p>
            <w:r>
              <w:t>Support tickets versus sales</w:t>
            </w:r>
          </w:p>
        </w:tc>
        <w:tc>
          <w:tcPr>
            <w:tcW w:type="dxa" w:w="3175"/>
          </w:tcPr>
          <w:p>
            <w:r>
              <w:t>10</w:t>
            </w:r>
          </w:p>
        </w:tc>
      </w:tr>
      <w:tr>
        <w:tc>
          <w:tcPr>
            <w:tcW w:type="dxa" w:w="3175"/>
          </w:tcPr>
          <w:p>
            <w:r>
              <w:t>Q5</w:t>
            </w:r>
          </w:p>
        </w:tc>
        <w:tc>
          <w:tcPr>
            <w:tcW w:type="dxa" w:w="3175"/>
          </w:tcPr>
          <w:p>
            <w:r>
              <w:t>Management focus by value at risk</w:t>
            </w:r>
          </w:p>
        </w:tc>
        <w:tc>
          <w:tcPr>
            <w:tcW w:type="dxa" w:w="3175"/>
          </w:tcPr>
          <w:p>
            <w:r>
              <w:t>10</w:t>
            </w:r>
          </w:p>
        </w:tc>
      </w:tr>
      <w:tr>
        <w:tc>
          <w:tcPr>
            <w:tcW w:type="dxa" w:w="3175"/>
          </w:tcPr>
          <w:p>
            <w:r>
              <w:t>Q6</w:t>
            </w:r>
          </w:p>
        </w:tc>
        <w:tc>
          <w:tcPr>
            <w:tcW w:type="dxa" w:w="3175"/>
          </w:tcPr>
          <w:p>
            <w:r>
              <w:t>SLA performance by priority</w:t>
            </w:r>
          </w:p>
        </w:tc>
        <w:tc>
          <w:tcPr>
            <w:tcW w:type="dxa" w:w="3175"/>
          </w:tcPr>
          <w:p>
            <w:r>
              <w:t>4</w:t>
            </w:r>
          </w:p>
        </w:tc>
      </w:tr>
      <w:tr>
        <w:tc>
          <w:tcPr>
            <w:tcW w:type="dxa" w:w="3175"/>
          </w:tcPr>
          <w:p>
            <w:r>
              <w:t>Q7</w:t>
            </w:r>
          </w:p>
        </w:tc>
        <w:tc>
          <w:tcPr>
            <w:tcW w:type="dxa" w:w="3175"/>
          </w:tcPr>
          <w:p>
            <w:r>
              <w:t>Target attainment</w:t>
            </w:r>
          </w:p>
        </w:tc>
        <w:tc>
          <w:tcPr>
            <w:tcW w:type="dxa" w:w="3175"/>
          </w:tcPr>
          <w:p>
            <w:r>
              <w:t>10</w:t>
            </w:r>
          </w:p>
        </w:tc>
      </w:tr>
      <w:tr>
        <w:tc>
          <w:tcPr>
            <w:tcW w:type="dxa" w:w="3175"/>
          </w:tcPr>
          <w:p>
            <w:r>
              <w:t>Q8</w:t>
            </w:r>
          </w:p>
        </w:tc>
        <w:tc>
          <w:tcPr>
            <w:tcW w:type="dxa" w:w="3175"/>
          </w:tcPr>
          <w:p>
            <w:r>
              <w:t>Fact population reconciliation</w:t>
            </w:r>
          </w:p>
        </w:tc>
        <w:tc>
          <w:tcPr>
            <w:tcW w:type="dxa" w:w="3175"/>
          </w:tcPr>
          <w:p>
            <w:r>
              <w:t>2</w:t>
            </w:r>
          </w:p>
        </w:tc>
      </w:tr>
    </w:tbl>
    <w:p>
      <w:pPr>
        <w:spacing w:before="80" w:after="60"/>
        <w:jc w:val="center"/>
      </w:pPr>
      <w:r>
        <w:drawing>
          <wp:inline xmlns:a="http://schemas.openxmlformats.org/drawingml/2006/main" xmlns:pic="http://schemas.openxmlformats.org/drawingml/2006/picture">
            <wp:extent cx="5852160" cy="2516429"/>
            <wp:docPr id="10" name="Picture 10"/>
            <wp:cNvGraphicFramePr>
              <a:graphicFrameLocks noChangeAspect="1"/>
            </wp:cNvGraphicFramePr>
            <a:graphic>
              <a:graphicData uri="http://schemas.openxmlformats.org/drawingml/2006/picture">
                <pic:pic>
                  <pic:nvPicPr>
                    <pic:cNvPr id="0" name="fabric_q1_results.png"/>
                    <pic:cNvPicPr/>
                  </pic:nvPicPr>
                  <pic:blipFill>
                    <a:blip r:embed="rId18"/>
                    <a:stretch>
                      <a:fillRect/>
                    </a:stretch>
                  </pic:blipFill>
                  <pic:spPr>
                    <a:xfrm>
                      <a:off x="0" y="0"/>
                      <a:ext cx="5852160" cy="2516429"/>
                    </a:xfrm>
                    <a:prstGeom prst="rect"/>
                  </pic:spPr>
                </pic:pic>
              </a:graphicData>
            </a:graphic>
          </wp:inline>
        </w:drawing>
      </w:r>
    </w:p>
    <w:p>
      <w:pPr>
        <w:pStyle w:val="Caption"/>
        <w:spacing w:after="180"/>
        <w:jc w:val="center"/>
      </w:pPr>
      <w:r>
        <w:rPr>
          <w:i/>
        </w:rPr>
        <w:t>Figure C.3 - Q1 live Warehouse result: top merchants by sales value and transaction volume.</w:t>
      </w:r>
    </w:p>
    <w:p>
      <w:pPr>
        <w:spacing w:before="80" w:after="60"/>
        <w:jc w:val="center"/>
      </w:pPr>
      <w:r>
        <w:drawing>
          <wp:inline xmlns:a="http://schemas.openxmlformats.org/drawingml/2006/main" xmlns:pic="http://schemas.openxmlformats.org/drawingml/2006/picture">
            <wp:extent cx="5852160" cy="1580083"/>
            <wp:docPr id="11" name="Picture 11"/>
            <wp:cNvGraphicFramePr>
              <a:graphicFrameLocks noChangeAspect="1"/>
            </wp:cNvGraphicFramePr>
            <a:graphic>
              <a:graphicData uri="http://schemas.openxmlformats.org/drawingml/2006/picture">
                <pic:pic>
                  <pic:nvPicPr>
                    <pic:cNvPr id="0" name="fabric_q6_results.png"/>
                    <pic:cNvPicPr/>
                  </pic:nvPicPr>
                  <pic:blipFill>
                    <a:blip r:embed="rId19"/>
                    <a:stretch>
                      <a:fillRect/>
                    </a:stretch>
                  </pic:blipFill>
                  <pic:spPr>
                    <a:xfrm>
                      <a:off x="0" y="0"/>
                      <a:ext cx="5852160" cy="1580083"/>
                    </a:xfrm>
                    <a:prstGeom prst="rect"/>
                  </pic:spPr>
                </pic:pic>
              </a:graphicData>
            </a:graphic>
          </wp:inline>
        </w:drawing>
      </w:r>
    </w:p>
    <w:p>
      <w:pPr>
        <w:pStyle w:val="Caption"/>
        <w:spacing w:after="180"/>
        <w:jc w:val="center"/>
      </w:pPr>
      <w:r>
        <w:rPr>
          <w:i/>
        </w:rPr>
        <w:t>Figure C.4 - Q6 live Warehouse result: SLA performance using Fabric's PERCENTILE_CONT implementation.</w:t>
      </w:r>
    </w:p>
    <w:p>
      <w:r>
        <w:rPr>
          <w:b/>
        </w:rPr>
        <w:t xml:space="preserve">Evidence scope. </w:t>
      </w:r>
      <w:r>
        <w:t>These captures prove live OneLake staging, Warehouse loading, schema verification, and T-SQL query execution in Fabric. They do not claim that the complete dbt model graph ran natively on Fabric; the dbt T-SQL portability work remains separately disclosed in Appendix B.</w:t>
      </w:r>
    </w:p>
    <w:p>
      <w:pPr>
        <w:pStyle w:val="Heading1"/>
        <w:pageBreakBefore/>
      </w:pPr>
      <w:r>
        <w:t>Appendix D. PC ingestion and medallion orchestration</w:t>
      </w:r>
    </w:p>
    <w:p>
      <w:r>
        <w:t>A local delivery package, MerchantVoucher_Raw.zip, was uploaded from the project PC to LH_MerchantVoucher/Files/landing in OneLake. A Microsoft Fabric Data Factory pipeline then executed four dependent notebooks to unpack the delivery, publish Bronze Delta tables, conform Silver tables, publish Gold facts and dimensions, and apply a final population gate.</w:t>
      </w:r>
    </w:p>
    <w:tbl>
      <w:tblPr>
        <w:tblStyle w:val="TableGrid"/>
        <w:tblW w:type="auto" w:w="0"/>
        <w:tblLook w:firstColumn="1" w:firstRow="1" w:lastColumn="0" w:lastRow="0" w:noHBand="0" w:noVBand="1" w:val="04A0"/>
      </w:tblPr>
      <w:tblGrid>
        <w:gridCol w:w="2381"/>
        <w:gridCol w:w="2381"/>
        <w:gridCol w:w="2381"/>
        <w:gridCol w:w="2381"/>
      </w:tblGrid>
      <w:tr>
        <w:tc>
          <w:tcPr>
            <w:tcW w:type="dxa" w:w="2381"/>
            <w:shd w:fill="DCE6F1"/>
          </w:tcPr>
          <w:p>
            <w:r>
              <w:rPr>
                <w:b/>
              </w:rPr>
              <w:t>Stage</w:t>
            </w:r>
          </w:p>
        </w:tc>
        <w:tc>
          <w:tcPr>
            <w:tcW w:type="dxa" w:w="2381"/>
            <w:shd w:fill="DCE6F1"/>
          </w:tcPr>
          <w:p>
            <w:r>
              <w:rPr>
                <w:b/>
              </w:rPr>
              <w:t>Fabric item</w:t>
            </w:r>
          </w:p>
        </w:tc>
        <w:tc>
          <w:tcPr>
            <w:tcW w:type="dxa" w:w="2381"/>
            <w:shd w:fill="DCE6F1"/>
          </w:tcPr>
          <w:p>
            <w:r>
              <w:rPr>
                <w:b/>
              </w:rPr>
              <w:t>Item ID</w:t>
            </w:r>
          </w:p>
        </w:tc>
        <w:tc>
          <w:tcPr>
            <w:tcW w:type="dxa" w:w="2381"/>
            <w:shd w:fill="DCE6F1"/>
          </w:tcPr>
          <w:p>
            <w:r>
              <w:rPr>
                <w:b/>
              </w:rPr>
              <w:t>Control</w:t>
            </w:r>
          </w:p>
        </w:tc>
      </w:tr>
      <w:tr>
        <w:tc>
          <w:tcPr>
            <w:tcW w:type="dxa" w:w="2381"/>
          </w:tcPr>
          <w:p>
            <w:pPr>
              <w:spacing w:after="40"/>
            </w:pPr>
            <w:r>
              <w:rPr>
                <w:sz w:val="16"/>
              </w:rPr>
              <w:t>01 PC ZIP to Bronze</w:t>
            </w:r>
          </w:p>
        </w:tc>
        <w:tc>
          <w:tcPr>
            <w:tcW w:type="dxa" w:w="2381"/>
          </w:tcPr>
          <w:p>
            <w:pPr>
              <w:spacing w:after="40"/>
            </w:pPr>
            <w:r>
              <w:rPr>
                <w:sz w:val="16"/>
              </w:rPr>
              <w:t>nb_01_pc_zip_to_bronze</w:t>
            </w:r>
          </w:p>
        </w:tc>
        <w:tc>
          <w:tcPr>
            <w:tcW w:type="dxa" w:w="2381"/>
          </w:tcPr>
          <w:p>
            <w:pPr>
              <w:spacing w:after="40"/>
            </w:pPr>
            <w:r>
              <w:rPr>
                <w:sz w:val="16"/>
              </w:rPr>
              <w:t>b633701f-2e42-4514-a34b-3960a2a36f56</w:t>
            </w:r>
          </w:p>
        </w:tc>
        <w:tc>
          <w:tcPr>
            <w:tcW w:type="dxa" w:w="2381"/>
          </w:tcPr>
          <w:p>
            <w:pPr>
              <w:spacing w:after="40"/>
            </w:pPr>
            <w:r>
              <w:rPr>
                <w:sz w:val="16"/>
              </w:rPr>
              <w:t>ZIP extraction + lineage</w:t>
            </w:r>
          </w:p>
        </w:tc>
      </w:tr>
      <w:tr>
        <w:tc>
          <w:tcPr>
            <w:tcW w:type="dxa" w:w="2381"/>
          </w:tcPr>
          <w:p>
            <w:pPr>
              <w:spacing w:after="40"/>
            </w:pPr>
            <w:r>
              <w:rPr>
                <w:sz w:val="16"/>
              </w:rPr>
              <w:t>02 Bronze to Silver</w:t>
            </w:r>
          </w:p>
        </w:tc>
        <w:tc>
          <w:tcPr>
            <w:tcW w:type="dxa" w:w="2381"/>
          </w:tcPr>
          <w:p>
            <w:pPr>
              <w:spacing w:after="40"/>
            </w:pPr>
            <w:r>
              <w:rPr>
                <w:sz w:val="16"/>
              </w:rPr>
              <w:t>nb_02_bronze_to_silver</w:t>
            </w:r>
          </w:p>
        </w:tc>
        <w:tc>
          <w:tcPr>
            <w:tcW w:type="dxa" w:w="2381"/>
          </w:tcPr>
          <w:p>
            <w:pPr>
              <w:spacing w:after="40"/>
            </w:pPr>
            <w:r>
              <w:rPr>
                <w:sz w:val="16"/>
              </w:rPr>
              <w:t>0f7a0b51-9929-49c3-a954-cdfcf05b2cd9</w:t>
            </w:r>
          </w:p>
        </w:tc>
        <w:tc>
          <w:tcPr>
            <w:tcW w:type="dxa" w:w="2381"/>
          </w:tcPr>
          <w:p>
            <w:pPr>
              <w:spacing w:after="40"/>
            </w:pPr>
            <w:r>
              <w:rPr>
                <w:sz w:val="16"/>
              </w:rPr>
              <w:t>Clean + deduplicate</w:t>
            </w:r>
          </w:p>
        </w:tc>
      </w:tr>
      <w:tr>
        <w:tc>
          <w:tcPr>
            <w:tcW w:type="dxa" w:w="2381"/>
          </w:tcPr>
          <w:p>
            <w:pPr>
              <w:spacing w:after="40"/>
            </w:pPr>
            <w:r>
              <w:rPr>
                <w:sz w:val="16"/>
              </w:rPr>
              <w:t>03 Silver to Gold</w:t>
            </w:r>
          </w:p>
        </w:tc>
        <w:tc>
          <w:tcPr>
            <w:tcW w:type="dxa" w:w="2381"/>
          </w:tcPr>
          <w:p>
            <w:pPr>
              <w:spacing w:after="40"/>
            </w:pPr>
            <w:r>
              <w:rPr>
                <w:sz w:val="16"/>
              </w:rPr>
              <w:t>nb_03_silver_to_gold</w:t>
            </w:r>
          </w:p>
        </w:tc>
        <w:tc>
          <w:tcPr>
            <w:tcW w:type="dxa" w:w="2381"/>
          </w:tcPr>
          <w:p>
            <w:pPr>
              <w:spacing w:after="40"/>
            </w:pPr>
            <w:r>
              <w:rPr>
                <w:sz w:val="16"/>
              </w:rPr>
              <w:t>a0564e65-2c0e-4756-9f22-a9695dd98cda</w:t>
            </w:r>
          </w:p>
        </w:tc>
        <w:tc>
          <w:tcPr>
            <w:tcW w:type="dxa" w:w="2381"/>
          </w:tcPr>
          <w:p>
            <w:pPr>
              <w:spacing w:after="40"/>
            </w:pPr>
            <w:r>
              <w:rPr>
                <w:sz w:val="16"/>
              </w:rPr>
              <w:t>Dimensions + facts</w:t>
            </w:r>
          </w:p>
        </w:tc>
      </w:tr>
      <w:tr>
        <w:tc>
          <w:tcPr>
            <w:tcW w:type="dxa" w:w="2381"/>
          </w:tcPr>
          <w:p>
            <w:pPr>
              <w:spacing w:after="40"/>
            </w:pPr>
            <w:r>
              <w:rPr>
                <w:sz w:val="16"/>
              </w:rPr>
              <w:t>04 Data quality gate</w:t>
            </w:r>
          </w:p>
        </w:tc>
        <w:tc>
          <w:tcPr>
            <w:tcW w:type="dxa" w:w="2381"/>
          </w:tcPr>
          <w:p>
            <w:pPr>
              <w:spacing w:after="40"/>
            </w:pPr>
            <w:r>
              <w:rPr>
                <w:sz w:val="16"/>
              </w:rPr>
              <w:t>nb_04_medallion_validation</w:t>
            </w:r>
          </w:p>
        </w:tc>
        <w:tc>
          <w:tcPr>
            <w:tcW w:type="dxa" w:w="2381"/>
          </w:tcPr>
          <w:p>
            <w:pPr>
              <w:spacing w:after="40"/>
            </w:pPr>
            <w:r>
              <w:rPr>
                <w:sz w:val="16"/>
              </w:rPr>
              <w:t>916b9465-a1a1-46b2-9e58-fdafacfcbaab</w:t>
            </w:r>
          </w:p>
        </w:tc>
        <w:tc>
          <w:tcPr>
            <w:tcW w:type="dxa" w:w="2381"/>
          </w:tcPr>
          <w:p>
            <w:pPr>
              <w:spacing w:after="40"/>
            </w:pPr>
            <w:r>
              <w:rPr>
                <w:sz w:val="16"/>
              </w:rPr>
              <w:t>Non-empty assertions</w:t>
            </w:r>
          </w:p>
        </w:tc>
      </w:tr>
    </w:tbl>
    <w:p>
      <w:pPr>
        <w:spacing w:before="80" w:after="60"/>
        <w:jc w:val="center"/>
      </w:pPr>
      <w:r>
        <w:drawing>
          <wp:inline xmlns:a="http://schemas.openxmlformats.org/drawingml/2006/main" xmlns:pic="http://schemas.openxmlformats.org/drawingml/2006/picture">
            <wp:extent cx="5897880" cy="3317558"/>
            <wp:docPr id="12" name="Picture 12"/>
            <wp:cNvGraphicFramePr>
              <a:graphicFrameLocks noChangeAspect="1"/>
            </wp:cNvGraphicFramePr>
            <a:graphic>
              <a:graphicData uri="http://schemas.openxmlformats.org/drawingml/2006/picture">
                <pic:pic>
                  <pic:nvPicPr>
                    <pic:cNvPr id="0" name="fabric_pipeline_completed.png"/>
                    <pic:cNvPicPr/>
                  </pic:nvPicPr>
                  <pic:blipFill>
                    <a:blip r:embed="rId20"/>
                    <a:stretch>
                      <a:fillRect/>
                    </a:stretch>
                  </pic:blipFill>
                  <pic:spPr>
                    <a:xfrm>
                      <a:off x="0" y="0"/>
                      <a:ext cx="5897880" cy="3317558"/>
                    </a:xfrm>
                    <a:prstGeom prst="rect"/>
                  </pic:spPr>
                </pic:pic>
              </a:graphicData>
            </a:graphic>
          </wp:inline>
        </w:drawing>
      </w:r>
    </w:p>
    <w:p>
      <w:pPr>
        <w:pStyle w:val="Caption"/>
        <w:spacing w:after="180"/>
        <w:jc w:val="center"/>
      </w:pPr>
      <w:r>
        <w:rPr>
          <w:i/>
        </w:rPr>
        <w:t>Figure D.1 - Live Fabric Job Scheduler API record for the completed Data Factory pipeline run. Run ID 30f66673-261b-43cc-8d1b-58bf9516f3f0.</w:t>
      </w:r>
    </w:p>
    <w:p>
      <w:pPr>
        <w:pStyle w:val="Heading2"/>
      </w:pPr>
      <w:r>
        <w:t>PC upload and ZIP extraction</w:t>
      </w:r>
    </w:p>
    <w:p>
      <w:r>
        <w:t>The package contains MerchantReference.csv, MerchantSales.csv, VoucherRedemptions.csv, and SupportTickets.csv. The first notebook expands the ZIP inside the attached Lakehouse, reads each CSV through its absolute OneLake ABFSS path, adds source-file, run-ID, and ingestion-time lineage fields, and writes the four Bronze tables in Delta format.</w:t>
      </w:r>
    </w:p>
    <w:p>
      <w:pPr>
        <w:spacing w:before="80" w:after="60"/>
        <w:jc w:val="center"/>
      </w:pPr>
      <w:r>
        <w:drawing>
          <wp:inline xmlns:a="http://schemas.openxmlformats.org/drawingml/2006/main" xmlns:pic="http://schemas.openxmlformats.org/drawingml/2006/picture">
            <wp:extent cx="5806440" cy="5516118"/>
            <wp:docPr id="13" name="Picture 13"/>
            <wp:cNvGraphicFramePr>
              <a:graphicFrameLocks noChangeAspect="1"/>
            </wp:cNvGraphicFramePr>
            <a:graphic>
              <a:graphicData uri="http://schemas.openxmlformats.org/drawingml/2006/picture">
                <pic:pic>
                  <pic:nvPicPr>
                    <pic:cNvPr id="0" name="fabric_pc_zip_bronze_code.png"/>
                    <pic:cNvPicPr/>
                  </pic:nvPicPr>
                  <pic:blipFill>
                    <a:blip r:embed="rId21"/>
                    <a:stretch>
                      <a:fillRect/>
                    </a:stretch>
                  </pic:blipFill>
                  <pic:spPr>
                    <a:xfrm>
                      <a:off x="0" y="0"/>
                      <a:ext cx="5806440" cy="5516118"/>
                    </a:xfrm>
                    <a:prstGeom prst="rect"/>
                  </pic:spPr>
                </pic:pic>
              </a:graphicData>
            </a:graphic>
          </wp:inline>
        </w:drawing>
      </w:r>
    </w:p>
    <w:p>
      <w:pPr>
        <w:pStyle w:val="Caption"/>
        <w:spacing w:after="180"/>
        <w:jc w:val="center"/>
      </w:pPr>
      <w:r>
        <w:rPr>
          <w:i/>
        </w:rPr>
        <w:t>Figure D.2 - Exact PySpark deployed to nb_01_pc_zip_to_bronze, including local-PC ZIP extraction, ABFSS reads, lineage columns, and Bronze Delta writes.</w:t>
      </w:r>
    </w:p>
    <w:p>
      <w:pPr>
        <w:pStyle w:val="Heading2"/>
      </w:pPr>
      <w:r>
        <w:t>Bronze, Silver and Gold controls</w:t>
      </w:r>
    </w:p>
    <w:tbl>
      <w:tblPr>
        <w:tblStyle w:val="TableGrid"/>
        <w:tblW w:type="auto" w:w="0"/>
        <w:tblLook w:firstColumn="1" w:firstRow="1" w:lastColumn="0" w:lastRow="0" w:noHBand="0" w:noVBand="1" w:val="04A0"/>
      </w:tblPr>
      <w:tblGrid>
        <w:gridCol w:w="3175"/>
        <w:gridCol w:w="3175"/>
        <w:gridCol w:w="3175"/>
      </w:tblGrid>
      <w:tr>
        <w:tc>
          <w:tcPr>
            <w:tcW w:type="dxa" w:w="3175"/>
            <w:shd w:fill="DCE6F1"/>
          </w:tcPr>
          <w:p>
            <w:r>
              <w:rPr>
                <w:b/>
              </w:rPr>
              <w:t>Layer</w:t>
            </w:r>
          </w:p>
        </w:tc>
        <w:tc>
          <w:tcPr>
            <w:tcW w:type="dxa" w:w="3175"/>
            <w:shd w:fill="DCE6F1"/>
          </w:tcPr>
          <w:p>
            <w:r>
              <w:rPr>
                <w:b/>
              </w:rPr>
              <w:t>Purpose</w:t>
            </w:r>
          </w:p>
        </w:tc>
        <w:tc>
          <w:tcPr>
            <w:tcW w:type="dxa" w:w="3175"/>
            <w:shd w:fill="DCE6F1"/>
          </w:tcPr>
          <w:p>
            <w:r>
              <w:rPr>
                <w:b/>
              </w:rPr>
              <w:t>Implemented control</w:t>
            </w:r>
          </w:p>
        </w:tc>
      </w:tr>
      <w:tr>
        <w:tc>
          <w:tcPr>
            <w:tcW w:type="dxa" w:w="3175"/>
          </w:tcPr>
          <w:p>
            <w:r>
              <w:t>Bronze</w:t>
            </w:r>
          </w:p>
        </w:tc>
        <w:tc>
          <w:tcPr>
            <w:tcW w:type="dxa" w:w="3175"/>
          </w:tcPr>
          <w:p>
            <w:r>
              <w:t>Replayable raw landing</w:t>
            </w:r>
          </w:p>
        </w:tc>
        <w:tc>
          <w:tcPr>
            <w:tcW w:type="dxa" w:w="3175"/>
          </w:tcPr>
          <w:p>
            <w:r>
              <w:t>Source package retained; four Delta tables receive run and source lineage.</w:t>
            </w:r>
          </w:p>
        </w:tc>
      </w:tr>
      <w:tr>
        <w:tc>
          <w:tcPr>
            <w:tcW w:type="dxa" w:w="3175"/>
          </w:tcPr>
          <w:p>
            <w:r>
              <w:t>Silver</w:t>
            </w:r>
          </w:p>
        </w:tc>
        <w:tc>
          <w:tcPr>
            <w:tcW w:type="dxa" w:w="3175"/>
          </w:tcPr>
          <w:p>
            <w:r>
              <w:t>Conformed analytical data</w:t>
            </w:r>
          </w:p>
        </w:tc>
        <w:tc>
          <w:tcPr>
            <w:tcW w:type="dxa" w:w="3175"/>
          </w:tcPr>
          <w:p>
            <w:r>
              <w:t>Column names normalised; strings trimmed; business keys deduplicated.</w:t>
            </w:r>
          </w:p>
        </w:tc>
      </w:tr>
      <w:tr>
        <w:tc>
          <w:tcPr>
            <w:tcW w:type="dxa" w:w="3175"/>
          </w:tcPr>
          <w:p>
            <w:r>
              <w:t>Gold</w:t>
            </w:r>
          </w:p>
        </w:tc>
        <w:tc>
          <w:tcPr>
            <w:tcW w:type="dxa" w:w="3175"/>
          </w:tcPr>
          <w:p>
            <w:r>
              <w:t>Reporting-ready star schema</w:t>
            </w:r>
          </w:p>
        </w:tc>
        <w:tc>
          <w:tcPr>
            <w:tcW w:type="dxa" w:w="3175"/>
          </w:tcPr>
          <w:p>
            <w:r>
              <w:t>Merchant dimension and three facts published with date keys and BI flags.</w:t>
            </w:r>
          </w:p>
        </w:tc>
      </w:tr>
      <w:tr>
        <w:tc>
          <w:tcPr>
            <w:tcW w:type="dxa" w:w="3175"/>
          </w:tcPr>
          <w:p>
            <w:r>
              <w:t>Quality gate</w:t>
            </w:r>
          </w:p>
        </w:tc>
        <w:tc>
          <w:tcPr>
            <w:tcW w:type="dxa" w:w="3175"/>
          </w:tcPr>
          <w:p>
            <w:r>
              <w:t>Completion control</w:t>
            </w:r>
          </w:p>
        </w:tc>
        <w:tc>
          <w:tcPr>
            <w:tcW w:type="dxa" w:w="3175"/>
          </w:tcPr>
          <w:p>
            <w:r>
              <w:t>All twelve expected tables checked; the pipeline fails if any table is empty.</w:t>
            </w:r>
          </w:p>
        </w:tc>
      </w:tr>
    </w:tbl>
    <w:p>
      <w:pPr>
        <w:spacing w:before="80" w:after="60"/>
        <w:jc w:val="center"/>
      </w:pPr>
      <w:r>
        <w:drawing>
          <wp:inline xmlns:a="http://schemas.openxmlformats.org/drawingml/2006/main" xmlns:pic="http://schemas.openxmlformats.org/drawingml/2006/picture">
            <wp:extent cx="5897880" cy="3317558"/>
            <wp:docPr id="14" name="Picture 14"/>
            <wp:cNvGraphicFramePr>
              <a:graphicFrameLocks noChangeAspect="1"/>
            </wp:cNvGraphicFramePr>
            <a:graphic>
              <a:graphicData uri="http://schemas.openxmlformats.org/drawingml/2006/picture">
                <pic:pic>
                  <pic:nvPicPr>
                    <pic:cNvPr id="0" name="fabric_medallion_counts.png"/>
                    <pic:cNvPicPr/>
                  </pic:nvPicPr>
                  <pic:blipFill>
                    <a:blip r:embed="rId22"/>
                    <a:stretch>
                      <a:fillRect/>
                    </a:stretch>
                  </pic:blipFill>
                  <pic:spPr>
                    <a:xfrm>
                      <a:off x="0" y="0"/>
                      <a:ext cx="5897880" cy="3317558"/>
                    </a:xfrm>
                    <a:prstGeom prst="rect"/>
                  </pic:spPr>
                </pic:pic>
              </a:graphicData>
            </a:graphic>
          </wp:inline>
        </w:drawing>
      </w:r>
    </w:p>
    <w:p>
      <w:pPr>
        <w:pStyle w:val="Caption"/>
        <w:spacing w:after="180"/>
        <w:jc w:val="center"/>
      </w:pPr>
      <w:r>
        <w:rPr>
          <w:i/>
        </w:rPr>
        <w:t>Figure D.3 - Live Lakehouse SQL endpoint verification after pipeline completion. The corresponding Bronze, Silver, and Gold datasets are all available.</w:t>
      </w:r>
    </w:p>
    <w:p>
      <w:pPr>
        <w:pStyle w:val="Heading2"/>
      </w:pPr>
      <w:r>
        <w:t>Traceability</w:t>
      </w:r>
    </w:p>
    <w:p>
      <w:r>
        <w:rPr>
          <w:b/>
        </w:rPr>
        <w:t xml:space="preserve">Workspace: </w:t>
      </w:r>
      <w:r>
        <w:t>WS_MerchantVoucher (0f8b1362-fedb-4c4d-aecc-f788a989c6b2)</w:t>
        <w:br/>
      </w:r>
      <w:r>
        <w:rPr>
          <w:b/>
        </w:rPr>
        <w:t xml:space="preserve">Lakehouse: </w:t>
      </w:r>
      <w:r>
        <w:t>LH_MerchantVoucher (b2e7b116-08a5-42cd-912d-5610f64c5489)</w:t>
        <w:br/>
      </w:r>
      <w:r>
        <w:rPr>
          <w:b/>
        </w:rPr>
        <w:t xml:space="preserve">Pipeline: </w:t>
      </w:r>
      <w:r>
        <w:t>pl_pc_ingestion_bronze_silver_gold (6af7e53b-af53-4af8-bff8-7440320080d8)</w:t>
        <w:br/>
      </w:r>
      <w:r>
        <w:rPr>
          <w:b/>
        </w:rPr>
        <w:t xml:space="preserve">Execution: </w:t>
      </w:r>
      <w:r>
        <w:t>Completed; 2026-08-11 19:56:11 to 20:02:05 UTC</w:t>
      </w:r>
    </w:p>
    <w:p>
      <w:r>
        <w:rPr>
          <w:b/>
        </w:rPr>
        <w:t xml:space="preserve">Fabric pipeline API record: </w:t>
      </w:r>
      <w:hyperlink r:id="rId23">
        <w:r>
          <w:rPr>
            <w:color w:val="2563EB"/>
            <w:u w:val="single"/>
          </w:rPr>
          <w:t>open execution endpoint</w:t>
        </w:r>
      </w:hyperlink>
    </w:p>
    <w:p>
      <w:r>
        <w:rPr>
          <w:b/>
        </w:rPr>
        <w:t xml:space="preserve">Evidence scope. </w:t>
      </w:r>
      <w:r>
        <w:t>Figures D.1 and D.3 are rendered evidence extracts from live Fabric API and SQL endpoint responses; Figure D.2 is rendered from the exact deployed notebook definition. They supplement the genuine Fabric portal capture already included in Appendix C and are not representations of the portal user interface.</w:t>
      </w:r>
    </w:p>
    <w:p>
      <w:pPr>
        <w:pStyle w:val="Heading1"/>
        <w:pageBreakBefore/>
      </w:pPr>
      <w:r>
        <w:t>Appendix E. Interview brief alignment</w:t>
      </w:r>
    </w:p>
    <w:p>
      <w:r>
        <w:t>The supplied dataset brief asks for a five-table analytical model, documented assumptions, reusable DAX, three report views, and optional AI-assisted insight. The table below provides a direct verification route through the completed submission.</w:t>
      </w:r>
    </w:p>
    <w:tbl>
      <w:tblPr>
        <w:tblStyle w:val="TableGrid"/>
        <w:tblW w:type="auto" w:w="0"/>
        <w:tblLook w:firstColumn="1" w:firstRow="1" w:lastColumn="0" w:lastRow="0" w:noHBand="0" w:noVBand="1" w:val="04A0"/>
      </w:tblPr>
      <w:tblGrid>
        <w:gridCol w:w="3175"/>
        <w:gridCol w:w="3175"/>
        <w:gridCol w:w="3175"/>
      </w:tblGrid>
      <w:tr>
        <w:trPr>
          <w:tblHeader/>
        </w:trPr>
        <w:tc>
          <w:tcPr>
            <w:tcW w:type="dxa" w:w="3175"/>
            <w:vAlign w:val="center"/>
            <w:shd w:fill="DCE6F1"/>
          </w:tcPr>
          <w:p>
            <w:pPr>
              <w:spacing w:before="30" w:after="30"/>
            </w:pPr>
            <w:r>
              <w:rPr>
                <w:b/>
                <w:sz w:val="16"/>
              </w:rPr>
              <w:t>Brief requirement</w:t>
            </w:r>
          </w:p>
        </w:tc>
        <w:tc>
          <w:tcPr>
            <w:tcW w:type="dxa" w:w="3175"/>
            <w:vAlign w:val="center"/>
            <w:shd w:fill="DCE6F1"/>
          </w:tcPr>
          <w:p>
            <w:pPr>
              <w:spacing w:before="30" w:after="30"/>
            </w:pPr>
            <w:r>
              <w:rPr>
                <w:b/>
                <w:sz w:val="16"/>
              </w:rPr>
              <w:t>Delivered evidence</w:t>
            </w:r>
          </w:p>
        </w:tc>
        <w:tc>
          <w:tcPr>
            <w:tcW w:type="dxa" w:w="3175"/>
            <w:vAlign w:val="center"/>
            <w:shd w:fill="DCE6F1"/>
          </w:tcPr>
          <w:p>
            <w:pPr>
              <w:spacing w:before="30" w:after="30"/>
            </w:pPr>
            <w:r>
              <w:rPr>
                <w:b/>
                <w:sz w:val="16"/>
              </w:rPr>
              <w:t>Verification route</w:t>
            </w:r>
          </w:p>
        </w:tc>
      </w:tr>
      <w:tr>
        <w:tc>
          <w:tcPr>
            <w:tcW w:type="dxa" w:w="3175"/>
            <w:vAlign w:val="center"/>
          </w:tcPr>
          <w:p>
            <w:pPr>
              <w:spacing w:before="30" w:after="30"/>
            </w:pPr>
            <w:r>
              <w:rPr>
                <w:b w:val="0"/>
                <w:sz w:val="16"/>
              </w:rPr>
              <w:t>Core model</w:t>
            </w:r>
          </w:p>
        </w:tc>
        <w:tc>
          <w:tcPr>
            <w:tcW w:type="dxa" w:w="3175"/>
            <w:vAlign w:val="center"/>
          </w:tcPr>
          <w:p>
            <w:pPr>
              <w:spacing w:before="30" w:after="30"/>
            </w:pPr>
            <w:r>
              <w:rPr>
                <w:b w:val="0"/>
                <w:sz w:val="16"/>
              </w:rPr>
              <w:t>Three facts, DimMerchant and a generated DimDate at declared grains</w:t>
            </w:r>
          </w:p>
        </w:tc>
        <w:tc>
          <w:tcPr>
            <w:tcW w:type="dxa" w:w="3175"/>
            <w:vAlign w:val="center"/>
          </w:tcPr>
          <w:p>
            <w:pPr>
              <w:spacing w:before="30" w:after="30"/>
            </w:pPr>
            <w:r>
              <w:rPr>
                <w:b w:val="0"/>
                <w:sz w:val="16"/>
              </w:rPr>
              <w:t>Model diagram; Appendix A; docs/02_Model_Design.md</w:t>
            </w:r>
          </w:p>
        </w:tc>
      </w:tr>
      <w:tr>
        <w:tc>
          <w:tcPr>
            <w:tcW w:type="dxa" w:w="3175"/>
            <w:vAlign w:val="center"/>
          </w:tcPr>
          <w:p>
            <w:pPr>
              <w:spacing w:before="30" w:after="30"/>
            </w:pPr>
            <w:r>
              <w:rPr>
                <w:b w:val="0"/>
                <w:sz w:val="16"/>
              </w:rPr>
              <w:t>Assumptions</w:t>
            </w:r>
          </w:p>
        </w:tc>
        <w:tc>
          <w:tcPr>
            <w:tcW w:type="dxa" w:w="3175"/>
            <w:vAlign w:val="center"/>
          </w:tcPr>
          <w:p>
            <w:pPr>
              <w:spacing w:before="30" w:after="30"/>
            </w:pPr>
            <w:r>
              <w:rPr>
                <w:b w:val="0"/>
                <w:sz w:val="16"/>
              </w:rPr>
              <w:t>Date roles, grains, nulls, targets, limitations and model caveats</w:t>
            </w:r>
          </w:p>
        </w:tc>
        <w:tc>
          <w:tcPr>
            <w:tcW w:type="dxa" w:w="3175"/>
            <w:vAlign w:val="center"/>
          </w:tcPr>
          <w:p>
            <w:pPr>
              <w:spacing w:before="30" w:after="30"/>
            </w:pPr>
            <w:r>
              <w:rPr>
                <w:b w:val="0"/>
                <w:sz w:val="16"/>
              </w:rPr>
              <w:t>Appendix A; docs/01_Assumptions_and_Data_Quality.md</w:t>
            </w:r>
          </w:p>
        </w:tc>
      </w:tr>
      <w:tr>
        <w:tc>
          <w:tcPr>
            <w:tcW w:type="dxa" w:w="3175"/>
            <w:vAlign w:val="center"/>
          </w:tcPr>
          <w:p>
            <w:pPr>
              <w:spacing w:before="30" w:after="30"/>
            </w:pPr>
            <w:r>
              <w:rPr>
                <w:b w:val="0"/>
                <w:sz w:val="16"/>
              </w:rPr>
              <w:t>Reusable DAX</w:t>
            </w:r>
          </w:p>
        </w:tc>
        <w:tc>
          <w:tcPr>
            <w:tcW w:type="dxa" w:w="3175"/>
            <w:vAlign w:val="center"/>
          </w:tcPr>
          <w:p>
            <w:pPr>
              <w:spacing w:before="30" w:after="30"/>
            </w:pPr>
            <w:r>
              <w:rPr>
                <w:b w:val="0"/>
                <w:sz w:val="16"/>
              </w:rPr>
              <w:t>Core, operations, time-intelligence, ranking and narrative libraries</w:t>
            </w:r>
          </w:p>
        </w:tc>
        <w:tc>
          <w:tcPr>
            <w:tcW w:type="dxa" w:w="3175"/>
            <w:vAlign w:val="center"/>
          </w:tcPr>
          <w:p>
            <w:pPr>
              <w:spacing w:before="30" w:after="30"/>
            </w:pPr>
            <w:r>
              <w:rPr>
                <w:b w:val="0"/>
                <w:sz w:val="16"/>
              </w:rPr>
              <w:t>dax/01 through dax/04; validation CSV</w:t>
            </w:r>
          </w:p>
        </w:tc>
      </w:tr>
      <w:tr>
        <w:tc>
          <w:tcPr>
            <w:tcW w:type="dxa" w:w="3175"/>
            <w:vAlign w:val="center"/>
          </w:tcPr>
          <w:p>
            <w:pPr>
              <w:spacing w:before="30" w:after="30"/>
            </w:pPr>
            <w:r>
              <w:rPr>
                <w:b w:val="0"/>
                <w:sz w:val="16"/>
              </w:rPr>
              <w:t>Executive view</w:t>
            </w:r>
          </w:p>
        </w:tc>
        <w:tc>
          <w:tcPr>
            <w:tcW w:type="dxa" w:w="3175"/>
            <w:vAlign w:val="center"/>
          </w:tcPr>
          <w:p>
            <w:pPr>
              <w:spacing w:before="30" w:after="30"/>
            </w:pPr>
            <w:r>
              <w:rPr>
                <w:b w:val="0"/>
                <w:sz w:val="16"/>
              </w:rPr>
              <w:t>Portfolio KPIs, trends, target performance and management priorities</w:t>
            </w:r>
          </w:p>
        </w:tc>
        <w:tc>
          <w:tcPr>
            <w:tcW w:type="dxa" w:w="3175"/>
            <w:vAlign w:val="center"/>
          </w:tcPr>
          <w:p>
            <w:pPr>
              <w:spacing w:before="30" w:after="30"/>
            </w:pPr>
            <w:r>
              <w:rPr>
                <w:b w:val="0"/>
                <w:sz w:val="16"/>
              </w:rPr>
              <w:t>Power BI: Executive Overview</w:t>
            </w:r>
          </w:p>
        </w:tc>
      </w:tr>
      <w:tr>
        <w:tc>
          <w:tcPr>
            <w:tcW w:type="dxa" w:w="3175"/>
            <w:vAlign w:val="center"/>
          </w:tcPr>
          <w:p>
            <w:pPr>
              <w:spacing w:before="30" w:after="30"/>
            </w:pPr>
            <w:r>
              <w:rPr>
                <w:b w:val="0"/>
                <w:sz w:val="16"/>
              </w:rPr>
              <w:t>Merchant view</w:t>
            </w:r>
          </w:p>
        </w:tc>
        <w:tc>
          <w:tcPr>
            <w:tcW w:type="dxa" w:w="3175"/>
            <w:vAlign w:val="center"/>
          </w:tcPr>
          <w:p>
            <w:pPr>
              <w:spacing w:before="30" w:after="30"/>
            </w:pPr>
            <w:r>
              <w:rPr>
                <w:b w:val="0"/>
                <w:sz w:val="16"/>
              </w:rPr>
              <w:t>Merchant trend, mix, operations, narrative and drill-through</w:t>
            </w:r>
          </w:p>
        </w:tc>
        <w:tc>
          <w:tcPr>
            <w:tcW w:type="dxa" w:w="3175"/>
            <w:vAlign w:val="center"/>
          </w:tcPr>
          <w:p>
            <w:pPr>
              <w:spacing w:before="30" w:after="30"/>
            </w:pPr>
            <w:r>
              <w:rPr>
                <w:b w:val="0"/>
                <w:sz w:val="16"/>
              </w:rPr>
              <w:t>Power BI: Merchant Analysis</w:t>
            </w:r>
          </w:p>
        </w:tc>
      </w:tr>
      <w:tr>
        <w:tc>
          <w:tcPr>
            <w:tcW w:type="dxa" w:w="3175"/>
            <w:vAlign w:val="center"/>
          </w:tcPr>
          <w:p>
            <w:pPr>
              <w:spacing w:before="30" w:after="30"/>
            </w:pPr>
            <w:r>
              <w:rPr>
                <w:b w:val="0"/>
                <w:sz w:val="16"/>
              </w:rPr>
              <w:t>Operational view</w:t>
            </w:r>
          </w:p>
        </w:tc>
        <w:tc>
          <w:tcPr>
            <w:tcW w:type="dxa" w:w="3175"/>
            <w:vAlign w:val="center"/>
          </w:tcPr>
          <w:p>
            <w:pPr>
              <w:spacing w:before="30" w:after="30"/>
            </w:pPr>
            <w:r>
              <w:rPr>
                <w:b w:val="0"/>
                <w:sz w:val="16"/>
              </w:rPr>
              <w:t>Backlog ownership, priority, SLA breach and resolution analysis</w:t>
            </w:r>
          </w:p>
        </w:tc>
        <w:tc>
          <w:tcPr>
            <w:tcW w:type="dxa" w:w="3175"/>
            <w:vAlign w:val="center"/>
          </w:tcPr>
          <w:p>
            <w:pPr>
              <w:spacing w:before="30" w:after="30"/>
            </w:pPr>
            <w:r>
              <w:rPr>
                <w:b w:val="0"/>
                <w:sz w:val="16"/>
              </w:rPr>
              <w:t>Power BI: Operational View</w:t>
            </w:r>
          </w:p>
        </w:tc>
      </w:tr>
      <w:tr>
        <w:tc>
          <w:tcPr>
            <w:tcW w:type="dxa" w:w="3175"/>
            <w:vAlign w:val="center"/>
          </w:tcPr>
          <w:p>
            <w:pPr>
              <w:spacing w:before="30" w:after="30"/>
            </w:pPr>
            <w:r>
              <w:rPr>
                <w:b w:val="0"/>
                <w:sz w:val="16"/>
              </w:rPr>
              <w:t>AI/anomaly</w:t>
            </w:r>
          </w:p>
        </w:tc>
        <w:tc>
          <w:tcPr>
            <w:tcW w:type="dxa" w:w="3175"/>
            <w:vAlign w:val="center"/>
          </w:tcPr>
          <w:p>
            <w:pPr>
              <w:spacing w:before="30" w:after="30"/>
            </w:pPr>
            <w:r>
              <w:rPr>
                <w:b w:val="0"/>
                <w:sz w:val="16"/>
              </w:rPr>
              <w:t>Anomaly recovery, segmentation, forecasts and governed narratives</w:t>
            </w:r>
          </w:p>
        </w:tc>
        <w:tc>
          <w:tcPr>
            <w:tcW w:type="dxa" w:w="3175"/>
            <w:vAlign w:val="center"/>
          </w:tcPr>
          <w:p>
            <w:pPr>
              <w:spacing w:before="30" w:after="30"/>
            </w:pPr>
            <w:r>
              <w:rPr>
                <w:b w:val="0"/>
                <w:sz w:val="16"/>
              </w:rPr>
              <w:t>Power BI: Intelligence Lab; Appendix B</w:t>
            </w:r>
          </w:p>
        </w:tc>
      </w:tr>
      <w:tr>
        <w:tc>
          <w:tcPr>
            <w:tcW w:type="dxa" w:w="3175"/>
            <w:vAlign w:val="center"/>
          </w:tcPr>
          <w:p>
            <w:pPr>
              <w:spacing w:before="30" w:after="30"/>
            </w:pPr>
            <w:r>
              <w:rPr>
                <w:b w:val="0"/>
                <w:sz w:val="16"/>
              </w:rPr>
              <w:t>Fabric extension</w:t>
            </w:r>
          </w:p>
        </w:tc>
        <w:tc>
          <w:tcPr>
            <w:tcW w:type="dxa" w:w="3175"/>
            <w:vAlign w:val="center"/>
          </w:tcPr>
          <w:p>
            <w:pPr>
              <w:spacing w:before="30" w:after="30"/>
            </w:pPr>
            <w:r>
              <w:rPr>
                <w:b w:val="0"/>
                <w:sz w:val="16"/>
              </w:rPr>
              <w:t>PC ZIP ingestion and executed Bronze-Silver-Gold pipeline</w:t>
            </w:r>
          </w:p>
        </w:tc>
        <w:tc>
          <w:tcPr>
            <w:tcW w:type="dxa" w:w="3175"/>
            <w:vAlign w:val="center"/>
          </w:tcPr>
          <w:p>
            <w:pPr>
              <w:spacing w:before="30" w:after="30"/>
            </w:pPr>
            <w:r>
              <w:rPr>
                <w:b w:val="0"/>
                <w:sz w:val="16"/>
              </w:rPr>
              <w:t>Appendices C-D; completed run ID in Appendix D</w:t>
            </w:r>
          </w:p>
        </w:tc>
      </w:tr>
    </w:tbl>
    <w:p>
      <w:pPr>
        <w:pStyle w:val="Heading2"/>
      </w:pPr>
      <w:r>
        <w:t>Recovery of the planted patterns</w:t>
      </w:r>
    </w:p>
    <w:p>
      <w:r>
        <w:t>All four patterns described in the source README were recovered and connected to a specific decision. The analysis did not use the README labels as model inputs.</w:t>
      </w:r>
    </w:p>
    <w:tbl>
      <w:tblPr>
        <w:tblStyle w:val="TableGrid"/>
        <w:tblW w:type="auto" w:w="0"/>
        <w:tblLook w:firstColumn="1" w:firstRow="1" w:lastColumn="0" w:lastRow="0" w:noHBand="0" w:noVBand="1" w:val="04A0"/>
      </w:tblPr>
      <w:tblGrid>
        <w:gridCol w:w="3175"/>
        <w:gridCol w:w="3175"/>
        <w:gridCol w:w="3175"/>
      </w:tblGrid>
      <w:tr>
        <w:trPr>
          <w:tblHeader/>
        </w:trPr>
        <w:tc>
          <w:tcPr>
            <w:tcW w:type="dxa" w:w="3175"/>
            <w:vAlign w:val="center"/>
            <w:shd w:fill="DCE6F1"/>
          </w:tcPr>
          <w:p>
            <w:pPr>
              <w:spacing w:before="30" w:after="30"/>
            </w:pPr>
            <w:r>
              <w:rPr>
                <w:b/>
                <w:sz w:val="16"/>
              </w:rPr>
              <w:t>Planted pattern</w:t>
            </w:r>
          </w:p>
        </w:tc>
        <w:tc>
          <w:tcPr>
            <w:tcW w:type="dxa" w:w="3175"/>
            <w:vAlign w:val="center"/>
            <w:shd w:fill="DCE6F1"/>
          </w:tcPr>
          <w:p>
            <w:pPr>
              <w:spacing w:before="30" w:after="30"/>
            </w:pPr>
            <w:r>
              <w:rPr>
                <w:b/>
                <w:sz w:val="16"/>
              </w:rPr>
              <w:t>Recovered evidence</w:t>
            </w:r>
          </w:p>
        </w:tc>
        <w:tc>
          <w:tcPr>
            <w:tcW w:type="dxa" w:w="3175"/>
            <w:vAlign w:val="center"/>
            <w:shd w:fill="DCE6F1"/>
          </w:tcPr>
          <w:p>
            <w:pPr>
              <w:spacing w:before="30" w:after="30"/>
            </w:pPr>
            <w:r>
              <w:rPr>
                <w:b/>
                <w:sz w:val="16"/>
              </w:rPr>
              <w:t>Management response</w:t>
            </w:r>
          </w:p>
        </w:tc>
      </w:tr>
      <w:tr>
        <w:tc>
          <w:tcPr>
            <w:tcW w:type="dxa" w:w="3175"/>
            <w:vAlign w:val="center"/>
          </w:tcPr>
          <w:p>
            <w:pPr>
              <w:spacing w:before="30" w:after="30"/>
            </w:pPr>
            <w:r>
              <w:rPr>
                <w:b w:val="0"/>
                <w:sz w:val="16"/>
              </w:rPr>
              <w:t>July sales decline</w:t>
            </w:r>
          </w:p>
        </w:tc>
        <w:tc>
          <w:tcPr>
            <w:tcW w:type="dxa" w:w="3175"/>
            <w:vAlign w:val="center"/>
          </w:tcPr>
          <w:p>
            <w:pPr>
              <w:spacing w:before="30" w:after="30"/>
            </w:pPr>
            <w:r>
              <w:rPr>
                <w:b w:val="0"/>
                <w:sz w:val="16"/>
              </w:rPr>
              <w:t>Umhlanga Value Mart: sales -44.7% MoM; tickets 3 to 37</w:t>
            </w:r>
          </w:p>
        </w:tc>
        <w:tc>
          <w:tcPr>
            <w:tcW w:type="dxa" w:w="3175"/>
            <w:vAlign w:val="center"/>
          </w:tcPr>
          <w:p>
            <w:pPr>
              <w:spacing w:before="30" w:after="30"/>
            </w:pPr>
            <w:r>
              <w:rPr>
                <w:b w:val="0"/>
                <w:sz w:val="16"/>
              </w:rPr>
              <w:t>Operational recovery plan, not a demand campaign</w:t>
            </w:r>
          </w:p>
        </w:tc>
      </w:tr>
      <w:tr>
        <w:tc>
          <w:tcPr>
            <w:tcW w:type="dxa" w:w="3175"/>
            <w:vAlign w:val="center"/>
          </w:tcPr>
          <w:p>
            <w:pPr>
              <w:spacing w:before="30" w:after="30"/>
            </w:pPr>
            <w:r>
              <w:rPr>
                <w:b w:val="0"/>
                <w:sz w:val="16"/>
              </w:rPr>
              <w:t>Growth from May</w:t>
            </w:r>
          </w:p>
        </w:tc>
        <w:tc>
          <w:tcPr>
            <w:tcW w:type="dxa" w:w="3175"/>
            <w:vAlign w:val="center"/>
          </w:tcPr>
          <w:p>
            <w:pPr>
              <w:spacing w:before="30" w:after="30"/>
            </w:pPr>
            <w:r>
              <w:rPr>
                <w:b w:val="0"/>
                <w:sz w:val="16"/>
              </w:rPr>
              <w:t>Kudu Digital Kiosk: approximately 64% level step, then sustained</w:t>
            </w:r>
          </w:p>
        </w:tc>
        <w:tc>
          <w:tcPr>
            <w:tcW w:type="dxa" w:w="3175"/>
            <w:vAlign w:val="center"/>
          </w:tcPr>
          <w:p>
            <w:pPr>
              <w:spacing w:before="30" w:after="30"/>
            </w:pPr>
            <w:r>
              <w:rPr>
                <w:b w:val="0"/>
                <w:sz w:val="16"/>
              </w:rPr>
              <w:t>Protect capacity and identify the repeatable driver</w:t>
            </w:r>
          </w:p>
        </w:tc>
      </w:tr>
      <w:tr>
        <w:tc>
          <w:tcPr>
            <w:tcW w:type="dxa" w:w="3175"/>
            <w:vAlign w:val="center"/>
          </w:tcPr>
          <w:p>
            <w:pPr>
              <w:spacing w:before="30" w:after="30"/>
            </w:pPr>
            <w:r>
              <w:rPr>
                <w:b w:val="0"/>
                <w:sz w:val="16"/>
              </w:rPr>
              <w:t>Ticket spike from June</w:t>
            </w:r>
          </w:p>
        </w:tc>
        <w:tc>
          <w:tcPr>
            <w:tcW w:type="dxa" w:w="3175"/>
            <w:vAlign w:val="center"/>
          </w:tcPr>
          <w:p>
            <w:pPr>
              <w:spacing w:before="30" w:after="30"/>
            </w:pPr>
            <w:r>
              <w:rPr>
                <w:b w:val="0"/>
                <w:sz w:val="16"/>
              </w:rPr>
              <w:t>Durban Cash Hub: roughly 5 per month to 44 in June and 52 in July</w:t>
            </w:r>
          </w:p>
        </w:tc>
        <w:tc>
          <w:tcPr>
            <w:tcW w:type="dxa" w:w="3175"/>
            <w:vAlign w:val="center"/>
          </w:tcPr>
          <w:p>
            <w:pPr>
              <w:spacing w:before="30" w:after="30"/>
            </w:pPr>
            <w:r>
              <w:rPr>
                <w:b w:val="0"/>
                <w:sz w:val="16"/>
              </w:rPr>
              <w:t>Intervene before the largest merchant's sales weaken</w:t>
            </w:r>
          </w:p>
        </w:tc>
      </w:tr>
      <w:tr>
        <w:tc>
          <w:tcPr>
            <w:tcW w:type="dxa" w:w="3175"/>
            <w:vAlign w:val="center"/>
          </w:tcPr>
          <w:p>
            <w:pPr>
              <w:spacing w:before="30" w:after="30"/>
            </w:pPr>
            <w:r>
              <w:rPr>
                <w:b w:val="0"/>
                <w:sz w:val="16"/>
              </w:rPr>
              <w:t>April redemption delay</w:t>
            </w:r>
          </w:p>
        </w:tc>
        <w:tc>
          <w:tcPr>
            <w:tcW w:type="dxa" w:w="3175"/>
            <w:vAlign w:val="center"/>
          </w:tcPr>
          <w:p>
            <w:pPr>
              <w:spacing w:before="30" w:after="30"/>
            </w:pPr>
            <w:r>
              <w:rPr>
                <w:b w:val="0"/>
                <w:sz w:val="16"/>
              </w:rPr>
              <w:t>Western Cape + Bill Payment: 15.4 days versus approximately 3.8 baseline</w:t>
            </w:r>
          </w:p>
        </w:tc>
        <w:tc>
          <w:tcPr>
            <w:tcW w:type="dxa" w:w="3175"/>
            <w:vAlign w:val="center"/>
          </w:tcPr>
          <w:p>
            <w:pPr>
              <w:spacing w:before="30" w:after="30"/>
            </w:pPr>
            <w:r>
              <w:rPr>
                <w:b w:val="0"/>
                <w:sz w:val="16"/>
              </w:rPr>
              <w:t>Settlement-path root-cause review</w:t>
            </w:r>
          </w:p>
        </w:tc>
      </w:tr>
    </w:tbl>
    <w:p>
      <w:pPr>
        <w:pStyle w:val="Heading2"/>
      </w:pPr>
      <w:r>
        <w:t>Suggested five-minute demonstration</w:t>
      </w:r>
    </w:p>
    <w:p>
      <w:pPr>
        <w:spacing w:after="60"/>
      </w:pPr>
      <w:r>
        <w:rPr>
          <w:b/>
        </w:rPr>
        <w:t xml:space="preserve">0:00-0:40 | Model and Fabric: </w:t>
      </w:r>
      <w:r>
        <w:t>Show the declared grains and the executed medallion pipeline.</w:t>
      </w:r>
    </w:p>
    <w:p>
      <w:pPr>
        <w:spacing w:after="60"/>
      </w:pPr>
      <w:r>
        <w:rPr>
          <w:b/>
        </w:rPr>
        <w:t xml:space="preserve">0:40-1:40 | Executive: </w:t>
      </w:r>
      <w:r>
        <w:t>Lead with the inverted SLA ladder and the action it requires.</w:t>
      </w:r>
    </w:p>
    <w:p>
      <w:pPr>
        <w:spacing w:after="60"/>
      </w:pPr>
      <w:r>
        <w:rPr>
          <w:b/>
        </w:rPr>
        <w:t xml:space="preserve">1:40-2:40 | Merchant: </w:t>
      </w:r>
      <w:r>
        <w:t>Select Umhlanga Value Mart and connect the volume fall to the ticket spike.</w:t>
      </w:r>
    </w:p>
    <w:p>
      <w:pPr>
        <w:spacing w:after="60"/>
      </w:pPr>
      <w:r>
        <w:rPr>
          <w:b/>
        </w:rPr>
        <w:t xml:space="preserve">2:40-3:30 | Operations: </w:t>
      </w:r>
      <w:r>
        <w:t>Separate controllable backlog from items awaiting the merchant.</w:t>
      </w:r>
    </w:p>
    <w:p>
      <w:pPr>
        <w:spacing w:after="60"/>
      </w:pPr>
      <w:r>
        <w:rPr>
          <w:b/>
        </w:rPr>
        <w:t xml:space="preserve">3:30-4:15 | Intelligence: </w:t>
      </w:r>
      <w:r>
        <w:t>Show the four recovered anomalies and disclose where prediction adds no value.</w:t>
      </w:r>
    </w:p>
    <w:p>
      <w:pPr>
        <w:spacing w:after="60"/>
      </w:pPr>
      <w:r>
        <w:rPr>
          <w:b/>
        </w:rPr>
        <w:t xml:space="preserve">4:15-5:00 | Close: </w:t>
      </w:r>
      <w:r>
        <w:t>Prioritise support triage, Umhlanga recovery and the April settlement review.</w:t>
      </w:r>
    </w:p>
    <w:p>
      <w:r>
        <w:rPr>
          <w:b/>
        </w:rPr>
        <w:t xml:space="preserve">Supporting interview aids. </w:t>
      </w:r>
      <w:r>
        <w:t>The full assessment matrix is in docs/05_Interview_Assessment_Matrix.md and the spoken walkthrough is in docs/06_Five_Minute_Demo_Script.md.</w:t>
      </w:r>
    </w:p>
    <w:sectPr w:rsidR="00FC693F" w:rsidRPr="0006063C" w:rsidSect="00034616">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Light" w:hAnsi="Calibri Light"/>
      <w:b/>
      <w:bCs/>
      <w:color w:val="12305B"/>
      <w:sz w:val="34"/>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Light" w:hAnsi="Calibri Light"/>
      <w:b/>
      <w:bCs/>
      <w:color w:val="12305B"/>
      <w:sz w:val="27"/>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Light" w:hAnsi="Calibri Light"/>
      <w:b/>
      <w:bCs/>
      <w:color w:val="0E8B8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hyperlink" Target="https://api.fabric.microsoft.com/v1/workspaces/0f8b1362-fedb-4c4d-aecc-f788a989c6b2/items/6af7e53b-af53-4af8-bff8-7440320080d8/jobs/instances/30f66673-261b-43cc-8d1b-58bf9516f3f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