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Pr>
        <w:pStyle w:val="Heading2"/>
        <w:spacing w:before="240"/>
      </w:pPr>
      <w:r>
        <w:rPr>
          <w:rFonts w:ascii="Calibri" w:hAnsi="Calibri"/>
          <w:b/>
          <w:color w:val="1D1D1B"/>
          <w:sz w:val="32"/>
        </w:rPr>
        <w:t>1.2  What, why and how</w:t>
      </w:r>
    </w:p>
    <w:p>
      <w:r>
        <w:t>Every section follows the same reading rule. What names the data or decision being shown. Why explains the business question it answers. How tells the reader which filter, comparison or action to use next. The captions and dashboard subtitles use the same language so the document and report remain self-explanatory when they are read separately.</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240"/>
      </w:pPr>
      <w:r>
        <w:rPr>
          <w:rFonts w:ascii="Calibri" w:hAnsi="Calibri"/>
          <w:b/>
          <w:color w:val="1D1D1B"/>
          <w:sz w:val="32"/>
        </w:rPr>
        <w:t>2.6  Reconciliation: source to report</w:t>
      </w:r>
    </w:p>
    <w:p>
      <w:r>
        <w:t>What: this compares every raw Parquet source count with its staging model, then checks the campaign and revenue totals that feed Power BI. Why: it distinguishes a deliberate reduction, such as de-duplicating contacts, from a dropped partition or broken join. How: rerun the same dbt build and this table is regenerated from the read-only warehouse connection; a zero delta is an exact count match.</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Entity</w:t>
            </w:r>
          </w:p>
        </w:tc>
        <w:tc>
          <w:tcPr>
            <w:tcW w:type="dxa" w:w="2160"/>
          </w:tcPr>
          <w:p>
            <w:r>
              <w:t>Source rows</w:t>
            </w:r>
          </w:p>
        </w:tc>
        <w:tc>
          <w:tcPr>
            <w:tcW w:type="dxa" w:w="2160"/>
          </w:tcPr>
          <w:p>
            <w:r>
              <w:t>Staging rows</w:t>
            </w:r>
          </w:p>
        </w:tc>
        <w:tc>
          <w:tcPr>
            <w:tcW w:type="dxa" w:w="2160"/>
          </w:tcPr>
          <w:p>
            <w:r>
              <w:t>Delta</w:t>
            </w:r>
          </w:p>
        </w:tc>
      </w:tr>
      <w:tr>
        <w:tc>
          <w:tcPr>
            <w:tcW w:type="dxa" w:w="2160"/>
          </w:tcPr>
          <w:p>
            <w:r>
              <w:t>Lead</w:t>
            </w:r>
          </w:p>
        </w:tc>
        <w:tc>
          <w:tcPr>
            <w:tcW w:type="dxa" w:w="2160"/>
          </w:tcPr>
          <w:p>
            <w:r>
              <w:t>1,500,000</w:t>
            </w:r>
          </w:p>
        </w:tc>
        <w:tc>
          <w:tcPr>
            <w:tcW w:type="dxa" w:w="2160"/>
          </w:tcPr>
          <w:p>
            <w:r>
              <w:t>1,500,000</w:t>
            </w:r>
          </w:p>
        </w:tc>
        <w:tc>
          <w:tcPr>
            <w:tcW w:type="dxa" w:w="2160"/>
          </w:tcPr>
          <w:p>
            <w:r>
              <w:t>0</w:t>
            </w:r>
          </w:p>
        </w:tc>
      </w:tr>
      <w:tr>
        <w:tc>
          <w:tcPr>
            <w:tcW w:type="dxa" w:w="2160"/>
          </w:tcPr>
          <w:p>
            <w:r>
              <w:t>Contact</w:t>
            </w:r>
          </w:p>
        </w:tc>
        <w:tc>
          <w:tcPr>
            <w:tcW w:type="dxa" w:w="2160"/>
          </w:tcPr>
          <w:p>
            <w:r>
              <w:t>1,194,805</w:t>
            </w:r>
          </w:p>
        </w:tc>
        <w:tc>
          <w:tcPr>
            <w:tcW w:type="dxa" w:w="2160"/>
          </w:tcPr>
          <w:p>
            <w:r>
              <w:t>1,194,805</w:t>
            </w:r>
          </w:p>
        </w:tc>
        <w:tc>
          <w:tcPr>
            <w:tcW w:type="dxa" w:w="2160"/>
          </w:tcPr>
          <w:p>
            <w:r>
              <w:t>0</w:t>
            </w:r>
          </w:p>
        </w:tc>
      </w:tr>
      <w:tr>
        <w:tc>
          <w:tcPr>
            <w:tcW w:type="dxa" w:w="2160"/>
          </w:tcPr>
          <w:p>
            <w:r>
              <w:t>Opportunity</w:t>
            </w:r>
          </w:p>
        </w:tc>
        <w:tc>
          <w:tcPr>
            <w:tcW w:type="dxa" w:w="2160"/>
          </w:tcPr>
          <w:p>
            <w:r>
              <w:t>740,779</w:t>
            </w:r>
          </w:p>
        </w:tc>
        <w:tc>
          <w:tcPr>
            <w:tcW w:type="dxa" w:w="2160"/>
          </w:tcPr>
          <w:p>
            <w:r>
              <w:t>740,779</w:t>
            </w:r>
          </w:p>
        </w:tc>
        <w:tc>
          <w:tcPr>
            <w:tcW w:type="dxa" w:w="2160"/>
          </w:tcPr>
          <w:p>
            <w:r>
              <w:t>0</w:t>
            </w:r>
          </w:p>
        </w:tc>
      </w:tr>
      <w:tr>
        <w:tc>
          <w:tcPr>
            <w:tcW w:type="dxa" w:w="2160"/>
          </w:tcPr>
          <w:p>
            <w:r>
              <w:t>Application</w:t>
            </w:r>
          </w:p>
        </w:tc>
        <w:tc>
          <w:tcPr>
            <w:tcW w:type="dxa" w:w="2160"/>
          </w:tcPr>
          <w:p>
            <w:r>
              <w:t>533,360</w:t>
            </w:r>
          </w:p>
        </w:tc>
        <w:tc>
          <w:tcPr>
            <w:tcW w:type="dxa" w:w="2160"/>
          </w:tcPr>
          <w:p>
            <w:r>
              <w:t>533,360</w:t>
            </w:r>
          </w:p>
        </w:tc>
        <w:tc>
          <w:tcPr>
            <w:tcW w:type="dxa" w:w="2160"/>
          </w:tcPr>
          <w:p>
            <w:r>
              <w:t>0</w:t>
            </w:r>
          </w:p>
        </w:tc>
      </w:tr>
      <w:tr>
        <w:tc>
          <w:tcPr>
            <w:tcW w:type="dxa" w:w="2160"/>
          </w:tcPr>
          <w:p>
            <w:r>
              <w:t>Enrolment</w:t>
            </w:r>
          </w:p>
        </w:tc>
        <w:tc>
          <w:tcPr>
            <w:tcW w:type="dxa" w:w="2160"/>
          </w:tcPr>
          <w:p>
            <w:r>
              <w:t>304,168</w:t>
            </w:r>
          </w:p>
        </w:tc>
        <w:tc>
          <w:tcPr>
            <w:tcW w:type="dxa" w:w="2160"/>
          </w:tcPr>
          <w:p>
            <w:r>
              <w:t>304,168</w:t>
            </w:r>
          </w:p>
        </w:tc>
        <w:tc>
          <w:tcPr>
            <w:tcW w:type="dxa" w:w="2160"/>
          </w:tcPr>
          <w:p>
            <w:r>
              <w:t>0</w:t>
            </w:r>
          </w:p>
        </w:tc>
      </w:tr>
      <w:tr>
        <w:tc>
          <w:tcPr>
            <w:tcW w:type="dxa" w:w="2160"/>
          </w:tcPr>
          <w:p>
            <w:r>
              <w:t>Campaign</w:t>
            </w:r>
          </w:p>
        </w:tc>
        <w:tc>
          <w:tcPr>
            <w:tcW w:type="dxa" w:w="2160"/>
          </w:tcPr>
          <w:p>
            <w:r>
              <w:t>480</w:t>
            </w:r>
          </w:p>
        </w:tc>
        <w:tc>
          <w:tcPr>
            <w:tcW w:type="dxa" w:w="2160"/>
          </w:tcPr>
          <w:p>
            <w:r>
              <w:t>480</w:t>
            </w:r>
          </w:p>
        </w:tc>
        <w:tc>
          <w:tcPr>
            <w:tcW w:type="dxa" w:w="2160"/>
          </w:tcPr>
          <w:p>
            <w:r>
              <w:t>0</w:t>
            </w:r>
          </w:p>
        </w:tc>
      </w:tr>
      <w:tr>
        <w:tc>
          <w:tcPr>
            <w:tcW w:type="dxa" w:w="2160"/>
          </w:tcPr>
          <w:p>
            <w:r>
              <w:t>Campaign member</w:t>
            </w:r>
          </w:p>
        </w:tc>
        <w:tc>
          <w:tcPr>
            <w:tcW w:type="dxa" w:w="2160"/>
          </w:tcPr>
          <w:p>
            <w:r>
              <w:t>2,533,440</w:t>
            </w:r>
          </w:p>
        </w:tc>
        <w:tc>
          <w:tcPr>
            <w:tcW w:type="dxa" w:w="2160"/>
          </w:tcPr>
          <w:p>
            <w:r>
              <w:t>2,533,440</w:t>
            </w:r>
          </w:p>
        </w:tc>
        <w:tc>
          <w:tcPr>
            <w:tcW w:type="dxa" w:w="2160"/>
          </w:tcPr>
          <w:p>
            <w:r>
              <w:t>0</w:t>
            </w:r>
          </w:p>
        </w:tc>
      </w:tr>
      <w:tr>
        <w:tc>
          <w:tcPr>
            <w:tcW w:type="dxa" w:w="2160"/>
          </w:tcPr>
          <w:p>
            <w:r>
              <w:t>Student</w:t>
            </w:r>
          </w:p>
        </w:tc>
        <w:tc>
          <w:tcPr>
            <w:tcW w:type="dxa" w:w="2160"/>
          </w:tcPr>
          <w:p>
            <w:r>
              <w:t>254,931</w:t>
            </w:r>
          </w:p>
        </w:tc>
        <w:tc>
          <w:tcPr>
            <w:tcW w:type="dxa" w:w="2160"/>
          </w:tcPr>
          <w:p>
            <w:r>
              <w:t>254,931</w:t>
            </w:r>
          </w:p>
        </w:tc>
        <w:tc>
          <w:tcPr>
            <w:tcW w:type="dxa" w:w="2160"/>
          </w:tcPr>
          <w:p>
            <w:r>
              <w:t>0</w:t>
            </w:r>
          </w:p>
        </w:tc>
      </w:tr>
      <w:tr>
        <w:tc>
          <w:tcPr>
            <w:tcW w:type="dxa" w:w="2160"/>
          </w:tcPr>
          <w:p>
            <w:r>
              <w:t>Student progress</w:t>
            </w:r>
          </w:p>
        </w:tc>
        <w:tc>
          <w:tcPr>
            <w:tcW w:type="dxa" w:w="2160"/>
          </w:tcPr>
          <w:p>
            <w:r>
              <w:t>3,799,284</w:t>
            </w:r>
          </w:p>
        </w:tc>
        <w:tc>
          <w:tcPr>
            <w:tcW w:type="dxa" w:w="2160"/>
          </w:tcPr>
          <w:p>
            <w:r>
              <w:t>3,799,284</w:t>
            </w:r>
          </w:p>
        </w:tc>
        <w:tc>
          <w:tcPr>
            <w:tcW w:type="dxa" w:w="2160"/>
          </w:tcPr>
          <w:p>
            <w:r>
              <w:t>0</w:t>
            </w:r>
          </w:p>
        </w:tc>
      </w:tr>
      <w:tr>
        <w:tc>
          <w:tcPr>
            <w:tcW w:type="dxa" w:w="2160"/>
          </w:tcPr>
          <w:p>
            <w:r>
              <w:t>Programme</w:t>
            </w:r>
          </w:p>
        </w:tc>
        <w:tc>
          <w:tcPr>
            <w:tcW w:type="dxa" w:w="2160"/>
          </w:tcPr>
          <w:p>
            <w:r>
              <w:t>83</w:t>
            </w:r>
          </w:p>
        </w:tc>
        <w:tc>
          <w:tcPr>
            <w:tcW w:type="dxa" w:w="2160"/>
          </w:tcPr>
          <w:p>
            <w:r>
              <w:t>83</w:t>
            </w:r>
          </w:p>
        </w:tc>
        <w:tc>
          <w:tcPr>
            <w:tcW w:type="dxa" w:w="2160"/>
          </w:tcPr>
          <w:p>
            <w:r>
              <w:t>0</w:t>
            </w:r>
          </w:p>
        </w:tc>
      </w:tr>
      <w:tr>
        <w:tc>
          <w:tcPr>
            <w:tcW w:type="dxa" w:w="2160"/>
          </w:tcPr>
          <w:p>
            <w:r>
              <w:t>Offering</w:t>
            </w:r>
          </w:p>
        </w:tc>
        <w:tc>
          <w:tcPr>
            <w:tcW w:type="dxa" w:w="2160"/>
          </w:tcPr>
          <w:p>
            <w:r>
              <w:t>89</w:t>
            </w:r>
          </w:p>
        </w:tc>
        <w:tc>
          <w:tcPr>
            <w:tcW w:type="dxa" w:w="2160"/>
          </w:tcPr>
          <w:p>
            <w:r>
              <w:t>89</w:t>
            </w:r>
          </w:p>
        </w:tc>
        <w:tc>
          <w:tcPr>
            <w:tcW w:type="dxa" w:w="2160"/>
          </w:tcPr>
          <w:p>
            <w:r>
              <w:t>0</w:t>
            </w:r>
          </w:p>
        </w:tc>
      </w:tr>
      <w:tr>
        <w:tc>
          <w:tcPr>
            <w:tcW w:type="dxa" w:w="2160"/>
          </w:tcPr>
          <w:p>
            <w:r>
              <w:t>Intake</w:t>
            </w:r>
          </w:p>
        </w:tc>
        <w:tc>
          <w:tcPr>
            <w:tcW w:type="dxa" w:w="2160"/>
          </w:tcPr>
          <w:p>
            <w:r>
              <w:t>47</w:t>
            </w:r>
          </w:p>
        </w:tc>
        <w:tc>
          <w:tcPr>
            <w:tcW w:type="dxa" w:w="2160"/>
          </w:tcPr>
          <w:p>
            <w:r>
              <w:t>47</w:t>
            </w:r>
          </w:p>
        </w:tc>
        <w:tc>
          <w:tcPr>
            <w:tcW w:type="dxa" w:w="2160"/>
          </w:tcPr>
          <w:p>
            <w:r>
              <w:t>0</w:t>
            </w:r>
          </w:p>
        </w:tc>
      </w:tr>
    </w:tbl>
    <w:p>
      <w:r>
        <w:t>All 12 source-to-staging deltas are zero. The expected contact reduction is 1,165,332 golden people from 1,194,805 source contact records; the difference is the duplicate population resolved by the two-key entity model. The admissions fact contains 740,779 opportunity-grain rows and the campaign performance mart contains 480 campaign-grain rows.</w:t>
      </w:r>
    </w:p>
    <w:p>
      <w:r>
        <w:t>Financial reconciliation: campaign spend dimension R471,994,991.55 versus campaign fact R471,994,991.55 (MATCH); enrolment revenue staging R2,867,214,315.80 versus campaign fact R1,896,377,742.41 (REVIEW).</w:t>
      </w:r>
    </w:p>
    <w:p>
      <w:r>
        <w:t>The revenue REVIEW is explained by 103,218 enrolments carrying R970,836,573.39 without a primary campaign key. That amount remains in the enrolment staging total but cannot honestly be assigned to a campaign; the gap is R970,836,573.39, not a dropped record. Recommended solution: report this as an explicit unattributed segment, then improve campaign capture or backfill only from verified source evidence. Never distribute it across campaigns to force a match.</w:t>
      </w:r>
    </w:p>
    <w:p>
      <w:pPr>
        <w:pStyle w:val="Heading2"/>
        <w:spacing w:before="320"/>
      </w:pPr>
      <w:r>
        <w:rPr>
          <w:rFonts w:ascii="Calibri" w:hAnsi="Calibri"/>
          <w:b/>
          <w:color w:val="1D1D1B"/>
          <w:sz w:val="34"/>
        </w:rPr>
        <w:t>2.7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2.7.1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0" name="Picture 10"/>
            <wp:cNvGraphicFramePr>
              <a:graphicFrameLocks noChangeAspect="1"/>
            </wp:cNvGraphicFramePr>
            <a:graphic>
              <a:graphicData uri="http://schemas.openxmlformats.org/drawingml/2006/picture">
                <pic:pic>
                  <pic:nvPicPr>
                    <pic:cNvPr id="0" name="province.png"/>
                    <pic:cNvPicPr/>
                  </pic:nvPicPr>
                  <pic:blipFill>
                    <a:blip r:embed="rId18"/>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1" name="Picture 11"/>
            <wp:cNvGraphicFramePr>
              <a:graphicFrameLocks noChangeAspect="1"/>
            </wp:cNvGraphicFramePr>
            <a:graphic>
              <a:graphicData uri="http://schemas.openxmlformats.org/drawingml/2006/picture">
                <pic:pic>
                  <pic:nvPicPr>
                    <pic:cNvPr id="0" name="student-cohort.jfif"/>
                    <pic:cNvPicPr/>
                  </pic:nvPicPr>
                  <pic:blipFill>
                    <a:blip r:embed="rId19"/>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2.7.2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2" name="Picture 12"/>
            <wp:cNvGraphicFramePr>
              <a:graphicFrameLocks noChangeAspect="1"/>
            </wp:cNvGraphicFramePr>
            <a:graphic>
              <a:graphicData uri="http://schemas.openxmlformats.org/drawingml/2006/picture">
                <pic:pic>
                  <pic:nvPicPr>
                    <pic:cNvPr id="0" name="conversion.png"/>
                    <pic:cNvPicPr/>
                  </pic:nvPicPr>
                  <pic:blipFill>
                    <a:blip r:embed="rId20"/>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2.8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2.9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2.10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3" name="Picture 13"/>
            <wp:cNvGraphicFramePr>
              <a:graphicFrameLocks noChangeAspect="1"/>
            </wp:cNvGraphicFramePr>
            <a:graphic>
              <a:graphicData uri="http://schemas.openxmlformats.org/drawingml/2006/picture">
                <pic:pic>
                  <pic:nvPicPr>
                    <pic:cNvPr id="0" name="ev_01_org_check.png"/>
                    <pic:cNvPicPr/>
                  </pic:nvPicPr>
                  <pic:blipFill>
                    <a:blip r:embed="rId21"/>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4" name="Picture 14"/>
            <wp:cNvGraphicFramePr>
              <a:graphicFrameLocks noChangeAspect="1"/>
            </wp:cNvGraphicFramePr>
            <a:graphic>
              <a:graphicData uri="http://schemas.openxmlformats.org/drawingml/2006/picture">
                <pic:pic>
                  <pic:nvPicPr>
                    <pic:cNvPr id="0" name="ev_02_metadata_validate.png"/>
                    <pic:cNvPicPr/>
                  </pic:nvPicPr>
                  <pic:blipFill>
                    <a:blip r:embed="rId22"/>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The supplied Salesforce Data Types reference was applied at the system boundary: Accounts, Contacts, Leads and Opportunities are operational CRM records, while raw GA4/clickstream events, detailed history and ML training data stay in the warehouse. These four standard objects were upserted on an external ID so the load is idempotent - re-running updates rather than duplicates. Two things pushed back, and both were right to. Salesforce rejects the external ID in the request body when it is already the key in the URL. Its duplicate rules also blocked leads that fuzzy-matched existing contacts at 100% confidence - the same duplicates the warehouse's own entity resolution finds, caught independently by the CRM.</w:t>
      </w:r>
    </w:p>
    <w:p>
      <w:r>
        <w:t>Live reconciliation on 10 September 2026 found 25 Accounts, 408 Contacts, 408 Leads and 250 Opportunities: 1,091 tagged records in total, with every count matching run_results/import_log.json. The Base Edition org cannot host the proposed custom Programme, Application, Student, Enrolment or Progress objects, and it does not support the campaign load in this reduced path. Those detailed objects remain in the warehouse until a Developer Edition or another edition with the required object entitlements is selected.</w:t>
      </w:r>
    </w:p>
    <w:p>
      <w:r>
        <w:t>Keep the populations separate when reading this report. The staged CRM sample pack in data/crm_load contains 48 Campaigns, 74 CampaignMembers, 162 Applications, 84 Enrolments, 192 Programme Enquiries, 81 Students and 192 Student Progress rows; these are not live Salesforce records in the Base Edition org. The larger synthetic analytics population lives in warehouse/raw, Fabric raw_salesforce and the DuckDB gold model used by Power BI, Excel and this ebook.</w:t>
      </w:r>
    </w:p>
    <w:p>
      <w:pPr>
        <w:jc w:val="center"/>
      </w:pPr>
      <w:r>
        <w:drawing>
          <wp:inline xmlns:a="http://schemas.openxmlformats.org/drawingml/2006/main" xmlns:pic="http://schemas.openxmlformats.org/drawingml/2006/picture">
            <wp:extent cx="5577840" cy="2368838"/>
            <wp:docPr id="15" name="Picture 15"/>
            <wp:cNvGraphicFramePr>
              <a:graphicFrameLocks noChangeAspect="1"/>
            </wp:cNvGraphicFramePr>
            <a:graphic>
              <a:graphicData uri="http://schemas.openxmlformats.org/drawingml/2006/picture">
                <pic:pic>
                  <pic:nvPicPr>
                    <pic:cNvPr id="0" name="ev_03_import_result.png"/>
                    <pic:cNvPicPr/>
                  </pic:nvPicPr>
                  <pic:blipFill>
                    <a:blip r:embed="rId23"/>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6" name="Picture 16"/>
            <wp:cNvGraphicFramePr>
              <a:graphicFrameLocks noChangeAspect="1"/>
            </wp:cNvGraphicFramePr>
            <a:graphic>
              <a:graphicData uri="http://schemas.openxmlformats.org/drawingml/2006/picture">
                <pic:pic>
                  <pic:nvPicPr>
                    <pic:cNvPr id="0" name="ev_04_org_counts.png"/>
                    <pic:cNvPicPr/>
                  </pic:nvPicPr>
                  <pic:blipFill>
                    <a:blip r:embed="rId24"/>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Salesforce record evidence</w:t>
      </w:r>
    </w:p>
    <w:p>
      <w:r>
        <w:t>The following panels show the exact non-deleted record counts queried from the authenticated Salesforce extract. Browser tabs and the Windows taskbar are intentionally removed so the evidence is readable in the ebook. Each panel shows representative rows and the verified total; it is evidence of the live standard-object slice, not the staged custom-object sample pack.</w:t>
      </w:r>
    </w:p>
    <w:p>
      <w:r>
        <w:rPr>
          <w:i/>
          <w:color w:val="60646B"/>
          <w:sz w:val="17"/>
        </w:rPr>
        <w:t>[Figure 9 not captured - run reporting/capture_evidence.py]</w:t>
      </w:r>
    </w:p>
    <w:p>
      <w:r>
        <w:rPr>
          <w:i/>
          <w:color w:val="60646B"/>
          <w:sz w:val="17"/>
        </w:rPr>
        <w:t>[Figure 10 not captured - run reporting/capture_evidence.py]</w:t>
      </w:r>
    </w:p>
    <w:p>
      <w:r>
        <w:rPr>
          <w:i/>
          <w:color w:val="60646B"/>
          <w:sz w:val="17"/>
        </w:rPr>
        <w:t>[Figure 11 not captured - run reporting/capture_evidence.py]</w:t>
      </w:r>
    </w:p>
    <w:p>
      <w:r>
        <w:rPr>
          <w:i/>
          <w:color w:val="60646B"/>
          <w:sz w:val="17"/>
        </w:rPr>
        <w:t>[Figure 12 not captured - run reporting/capture_evidence.py]</w:t>
      </w:r>
    </w:p>
    <w:p>
      <w:pPr>
        <w:pStyle w:val="Heading2"/>
        <w:spacing w:before="240"/>
      </w:pPr>
      <w:r>
        <w:rPr>
          <w:rFonts w:ascii="Calibri" w:hAnsi="Calibri"/>
          <w:b/>
          <w:color w:val="1D1D1B"/>
          <w:sz w:val="32"/>
        </w:rPr>
        <w:t>3.5  5.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7" name="Picture 17"/>
            <wp:cNvGraphicFramePr>
              <a:graphicFrameLocks noChangeAspect="1"/>
            </wp:cNvGraphicFramePr>
            <a:graphic>
              <a:graphicData uri="http://schemas.openxmlformats.org/drawingml/2006/picture">
                <pic:pic>
                  <pic:nvPicPr>
                    <pic:cNvPr id="0" name="ev_05_extraction.png"/>
                    <pic:cNvPicPr/>
                  </pic:nvPicPr>
                  <pic:blipFill>
                    <a:blip r:embed="rId25"/>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3.6  6.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8" name="Picture 18"/>
            <wp:cNvGraphicFramePr>
              <a:graphicFrameLocks noChangeAspect="1"/>
            </wp:cNvGraphicFramePr>
            <a:graphic>
              <a:graphicData uri="http://schemas.openxmlformats.org/drawingml/2006/picture">
                <pic:pic>
                  <pic:nvPicPr>
                    <pic:cNvPr id="0" name="ev_06_dbt_tests.png"/>
                    <pic:cNvPicPr/>
                  </pic:nvPicPr>
                  <pic:blipFill>
                    <a:blip r:embed="rId26"/>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bands.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0" name="Picture 20"/>
            <wp:cNvGraphicFramePr>
              <a:graphicFrameLocks noChangeAspect="1"/>
            </wp:cNvGraphicFramePr>
            <a:graphic>
              <a:graphicData uri="http://schemas.openxmlformats.org/drawingml/2006/picture">
                <pic:pic>
                  <pic:nvPicPr>
                    <pic:cNvPr id="0" name="ml_importance.png"/>
                    <pic:cNvPicPr/>
                  </pic:nvPicPr>
                  <pic:blipFill>
                    <a:blip r:embed="rId28"/>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1" name="Picture 21"/>
            <wp:cNvGraphicFramePr>
              <a:graphicFrameLocks noChangeAspect="1"/>
            </wp:cNvGraphicFramePr>
            <a:graphic>
              <a:graphicData uri="http://schemas.openxmlformats.org/drawingml/2006/picture">
                <pic:pic>
                  <pic:nvPicPr>
                    <pic:cNvPr id="0" name="ev_09_medallion.png"/>
                    <pic:cNvPicPr/>
                  </pic:nvPicPr>
                  <pic:blipFill>
                    <a:blip r:embed="rId29"/>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251960"/>
            <wp:docPr id="22" name="Picture 22"/>
            <wp:cNvGraphicFramePr>
              <a:graphicFrameLocks noChangeAspect="1"/>
            </wp:cNvGraphicFramePr>
            <a:graphic>
              <a:graphicData uri="http://schemas.openxmlformats.org/drawingml/2006/picture">
                <pic:pic>
                  <pic:nvPicPr>
                    <pic:cNvPr id="0" name="03_Canonical_ERD.png"/>
                    <pic:cNvPicPr/>
                  </pic:nvPicPr>
                  <pic:blipFill>
                    <a:blip r:embed="rId30"/>
                    <a:stretch>
                      <a:fillRect/>
                    </a:stretch>
                  </pic:blipFill>
                  <pic:spPr>
                    <a:xfrm>
                      <a:off x="0" y="0"/>
                      <a:ext cx="5669280" cy="425196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3" name="Picture 23"/>
            <wp:cNvGraphicFramePr>
              <a:graphicFrameLocks noChangeAspect="1"/>
            </wp:cNvGraphicFramePr>
            <a:graphic>
              <a:graphicData uri="http://schemas.openxmlformats.org/drawingml/2006/picture">
                <pic:pic>
                  <pic:nvPicPr>
                    <pic:cNvPr id="0" name="ev_10_data_model.png"/>
                    <pic:cNvPicPr/>
                  </pic:nvPicPr>
                  <pic:blipFill>
                    <a:blip r:embed="rId31"/>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4" name="Picture 24"/>
            <wp:cNvGraphicFramePr>
              <a:graphicFrameLocks noChangeAspect="1"/>
            </wp:cNvGraphicFramePr>
            <a:graphic>
              <a:graphicData uri="http://schemas.openxmlformats.org/drawingml/2006/picture">
                <pic:pic>
                  <pic:nvPicPr>
                    <pic:cNvPr id="0" name="ev_07_nifi_flow.png"/>
                    <pic:cNvPicPr/>
                  </pic:nvPicPr>
                  <pic:blipFill>
                    <a:blip r:embed="rId32"/>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r>
        <w:rPr>
          <w:i/>
          <w:color w:val="60646B"/>
          <w:sz w:val="17"/>
        </w:rPr>
        <w:t>[Figure 11a not captured - run reporting/capture_evidence.py]</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25" name="Picture 25"/>
            <wp:cNvGraphicFramePr>
              <a:graphicFrameLocks noChangeAspect="1"/>
            </wp:cNvGraphicFramePr>
            <a:graphic>
              <a:graphicData uri="http://schemas.openxmlformats.org/drawingml/2006/picture">
                <pic:pic>
                  <pic:nvPicPr>
                    <pic:cNvPr id="0" name="ev_08_fabric.png"/>
                    <pic:cNvPicPr/>
                  </pic:nvPicPr>
                  <pic:blipFill>
                    <a:blip r:embed="rId33"/>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two valid routes, not a claimed result</w:t>
      </w:r>
    </w:p>
    <w:p>
      <w:r>
        <w:t>A GA4 NiFi builder is included, but it has no configured GA4 credential, successful extract or warehouse source table, and no report number uses GA4 data. BigQuery is not required when the Data API is used: runReport returns the aggregated dimensions and metrics needed for campaign, source/medium and landing-page reporting, and NiFi can write those results directly to OneLake. BigQuery is required for GA4 native raw-event export, which produces richer events_YYYYMMDD tables for event-parameter and session-path analysis. Either route can land in a dated bronze partition before dbt conforms campaign and date keys for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517775"/>
            <wp:docPr id="26" name="Picture 26"/>
            <wp:cNvGraphicFramePr>
              <a:graphicFrameLocks noChangeAspect="1"/>
            </wp:cNvGraphicFramePr>
            <a:graphic>
              <a:graphicData uri="http://schemas.openxmlformats.org/drawingml/2006/picture">
                <pic:pic>
                  <pic:nvPicPr>
                    <pic:cNvPr id="0" name="ga4_to_fabric.png"/>
                    <pic:cNvPicPr/>
                  </pic:nvPicPr>
                  <pic:blipFill>
                    <a:blip r:embed="rId34"/>
                    <a:stretch>
                      <a:fillRect/>
                    </a:stretch>
                  </pic:blipFill>
                  <pic:spPr>
                    <a:xfrm>
                      <a:off x="0" y="0"/>
                      <a:ext cx="5577840" cy="2517775"/>
                    </a:xfrm>
                    <a:prstGeom prst="rect"/>
                  </pic:spPr>
                </pic:pic>
              </a:graphicData>
            </a:graphic>
          </wp:inline>
        </w:drawing>
      </w:r>
    </w:p>
    <w:p>
      <w:pPr>
        <w:jc w:val="center"/>
      </w:pPr>
      <w:r>
        <w:rPr>
          <w:i/>
          <w:color w:val="60646B"/>
          <w:sz w:val="17"/>
        </w:rPr>
        <w:t>Figure 13 - GA4 can feed the platform through the Data API without BigQuery, or through native raw-event export to BigQuery.</w:t>
      </w:r>
    </w:p>
    <w:p>
      <w:pPr>
        <w:pStyle w:val="Heading2"/>
        <w:spacing w:before="240"/>
      </w:pPr>
      <w:r>
        <w:rPr>
          <w:rFonts w:ascii="Calibri" w:hAnsi="Calibri"/>
          <w:b/>
          <w:color w:val="1D1D1B"/>
          <w:sz w:val="32"/>
        </w:rPr>
        <w:t>7.4  Screens from the org</w:t>
      </w:r>
    </w:p>
    <w:p>
      <w:pPr>
        <w:jc w:val="center"/>
      </w:pPr>
      <w:r>
        <w:drawing>
          <wp:inline xmlns:a="http://schemas.openxmlformats.org/drawingml/2006/main" xmlns:pic="http://schemas.openxmlformats.org/drawingml/2006/picture">
            <wp:extent cx="5394960" cy="3260690"/>
            <wp:docPr id="27" name="Picture 27"/>
            <wp:cNvGraphicFramePr>
              <a:graphicFrameLocks noChangeAspect="1"/>
            </wp:cNvGraphicFramePr>
            <a:graphic>
              <a:graphicData uri="http://schemas.openxmlformats.org/drawingml/2006/picture">
                <pic:pic>
                  <pic:nvPicPr>
                    <pic:cNvPr id="0" name="06_PowerBI_predictive_actions.png"/>
                    <pic:cNvPicPr/>
                  </pic:nvPicPr>
                  <pic:blipFill>
                    <a:blip r:embed="rId35"/>
                    <a:stretch>
                      <a:fillRect/>
                    </a:stretch>
                  </pic:blipFill>
                  <pic:spPr>
                    <a:xfrm>
                      <a:off x="0" y="0"/>
                      <a:ext cx="5394960" cy="3260690"/>
                    </a:xfrm>
                    <a:prstGeom prst="rect"/>
                  </pic:spPr>
                </pic:pic>
              </a:graphicData>
            </a:graphic>
          </wp:inline>
        </w:drawing>
      </w:r>
    </w:p>
    <w:p>
      <w:pPr>
        <w:jc w:val="center"/>
      </w:pPr>
      <w:r>
        <w:rPr>
          <w:i/>
          <w:color w:val="60646B"/>
          <w:sz w:val="17"/>
        </w:rPr>
        <w:t>PowerBI predictive actions</w:t>
      </w:r>
    </w:p>
    <w:p>
      <w:pPr>
        <w:jc w:val="center"/>
      </w:pPr>
      <w:r>
        <w:drawing>
          <wp:inline xmlns:a="http://schemas.openxmlformats.org/drawingml/2006/main" xmlns:pic="http://schemas.openxmlformats.org/drawingml/2006/picture">
            <wp:extent cx="5394960" cy="2875206"/>
            <wp:docPr id="28" name="Picture 28"/>
            <wp:cNvGraphicFramePr>
              <a:graphicFrameLocks noChangeAspect="1"/>
            </wp:cNvGraphicFramePr>
            <a:graphic>
              <a:graphicData uri="http://schemas.openxmlformats.org/drawingml/2006/picture">
                <pic:pic>
                  <pic:nvPicPr>
                    <pic:cNvPr id="0" name="07_Salesforce_contacts_live.png"/>
                    <pic:cNvPicPr/>
                  </pic:nvPicPr>
                  <pic:blipFill>
                    <a:blip r:embed="rId36"/>
                    <a:stretch>
                      <a:fillRect/>
                    </a:stretch>
                  </pic:blipFill>
                  <pic:spPr>
                    <a:xfrm>
                      <a:off x="0" y="0"/>
                      <a:ext cx="5394960" cy="2875206"/>
                    </a:xfrm>
                    <a:prstGeom prst="rect"/>
                  </pic:spPr>
                </pic:pic>
              </a:graphicData>
            </a:graphic>
          </wp:inline>
        </w:drawing>
      </w:r>
    </w:p>
    <w:p>
      <w:pPr>
        <w:jc w:val="center"/>
      </w:pPr>
      <w:r>
        <w:rPr>
          <w:i/>
          <w:color w:val="60646B"/>
          <w:sz w:val="17"/>
        </w:rPr>
        <w:t>Salesforce contacts live</w:t>
      </w:r>
    </w:p>
    <w:p>
      <w:pPr>
        <w:jc w:val="center"/>
      </w:pPr>
      <w:r>
        <w:drawing>
          <wp:inline xmlns:a="http://schemas.openxmlformats.org/drawingml/2006/main" xmlns:pic="http://schemas.openxmlformats.org/drawingml/2006/picture">
            <wp:extent cx="5394960" cy="3034665"/>
            <wp:docPr id="29" name="Picture 29"/>
            <wp:cNvGraphicFramePr>
              <a:graphicFrameLocks noChangeAspect="1"/>
            </wp:cNvGraphicFramePr>
            <a:graphic>
              <a:graphicData uri="http://schemas.openxmlformats.org/drawingml/2006/picture">
                <pic:pic>
                  <pic:nvPicPr>
                    <pic:cNvPr id="0" name="08_Salesforce_accounts_verified.png"/>
                    <pic:cNvPicPr/>
                  </pic:nvPicPr>
                  <pic:blipFill>
                    <a:blip r:embed="rId37"/>
                    <a:stretch>
                      <a:fillRect/>
                    </a:stretch>
                  </pic:blipFill>
                  <pic:spPr>
                    <a:xfrm>
                      <a:off x="0" y="0"/>
                      <a:ext cx="5394960" cy="3034665"/>
                    </a:xfrm>
                    <a:prstGeom prst="rect"/>
                  </pic:spPr>
                </pic:pic>
              </a:graphicData>
            </a:graphic>
          </wp:inline>
        </w:drawing>
      </w:r>
    </w:p>
    <w:p>
      <w:pPr>
        <w:jc w:val="center"/>
      </w:pPr>
      <w:r>
        <w:rPr>
          <w:i/>
          <w:color w:val="60646B"/>
          <w:sz w:val="17"/>
        </w:rPr>
        <w:t>Salesforce accounts verified</w:t>
      </w:r>
    </w:p>
    <w:p>
      <w:pPr>
        <w:jc w:val="center"/>
      </w:pPr>
      <w:r>
        <w:drawing>
          <wp:inline xmlns:a="http://schemas.openxmlformats.org/drawingml/2006/main" xmlns:pic="http://schemas.openxmlformats.org/drawingml/2006/picture">
            <wp:extent cx="5394960" cy="3034665"/>
            <wp:docPr id="30" name="Picture 30"/>
            <wp:cNvGraphicFramePr>
              <a:graphicFrameLocks noChangeAspect="1"/>
            </wp:cNvGraphicFramePr>
            <a:graphic>
              <a:graphicData uri="http://schemas.openxmlformats.org/drawingml/2006/picture">
                <pic:pic>
                  <pic:nvPicPr>
                    <pic:cNvPr id="0" name="09_Salesforce_contacts_verified.png"/>
                    <pic:cNvPicPr/>
                  </pic:nvPicPr>
                  <pic:blipFill>
                    <a:blip r:embed="rId38"/>
                    <a:stretch>
                      <a:fillRect/>
                    </a:stretch>
                  </pic:blipFill>
                  <pic:spPr>
                    <a:xfrm>
                      <a:off x="0" y="0"/>
                      <a:ext cx="5394960" cy="3034665"/>
                    </a:xfrm>
                    <a:prstGeom prst="rect"/>
                  </pic:spPr>
                </pic:pic>
              </a:graphicData>
            </a:graphic>
          </wp:inline>
        </w:drawing>
      </w:r>
    </w:p>
    <w:p>
      <w:pPr>
        <w:jc w:val="center"/>
      </w:pPr>
      <w:r>
        <w:rPr>
          <w:i/>
          <w:color w:val="60646B"/>
          <w:sz w:val="17"/>
        </w:rPr>
        <w:t>Salesforce contacts verified</w:t>
      </w:r>
    </w:p>
    <w:p>
      <w:pPr>
        <w:jc w:val="center"/>
      </w:pPr>
      <w:r>
        <w:drawing>
          <wp:inline xmlns:a="http://schemas.openxmlformats.org/drawingml/2006/main" xmlns:pic="http://schemas.openxmlformats.org/drawingml/2006/picture">
            <wp:extent cx="5394960" cy="3034665"/>
            <wp:docPr id="31" name="Picture 31"/>
            <wp:cNvGraphicFramePr>
              <a:graphicFrameLocks noChangeAspect="1"/>
            </wp:cNvGraphicFramePr>
            <a:graphic>
              <a:graphicData uri="http://schemas.openxmlformats.org/drawingml/2006/picture">
                <pic:pic>
                  <pic:nvPicPr>
                    <pic:cNvPr id="0" name="10_Salesforce_leads_verified.png"/>
                    <pic:cNvPicPr/>
                  </pic:nvPicPr>
                  <pic:blipFill>
                    <a:blip r:embed="rId39"/>
                    <a:stretch>
                      <a:fillRect/>
                    </a:stretch>
                  </pic:blipFill>
                  <pic:spPr>
                    <a:xfrm>
                      <a:off x="0" y="0"/>
                      <a:ext cx="5394960" cy="3034665"/>
                    </a:xfrm>
                    <a:prstGeom prst="rect"/>
                  </pic:spPr>
                </pic:pic>
              </a:graphicData>
            </a:graphic>
          </wp:inline>
        </w:drawing>
      </w:r>
    </w:p>
    <w:p>
      <w:pPr>
        <w:jc w:val="center"/>
      </w:pPr>
      <w:r>
        <w:rPr>
          <w:i/>
          <w:color w:val="60646B"/>
          <w:sz w:val="17"/>
        </w:rPr>
        <w:t>Salesforce leads verified</w:t>
      </w:r>
    </w:p>
    <w:p>
      <w:pPr>
        <w:jc w:val="center"/>
      </w:pPr>
      <w:r>
        <w:drawing>
          <wp:inline xmlns:a="http://schemas.openxmlformats.org/drawingml/2006/main" xmlns:pic="http://schemas.openxmlformats.org/drawingml/2006/picture">
            <wp:extent cx="5394960" cy="3034665"/>
            <wp:docPr id="32" name="Picture 32"/>
            <wp:cNvGraphicFramePr>
              <a:graphicFrameLocks noChangeAspect="1"/>
            </wp:cNvGraphicFramePr>
            <a:graphic>
              <a:graphicData uri="http://schemas.openxmlformats.org/drawingml/2006/picture">
                <pic:pic>
                  <pic:nvPicPr>
                    <pic:cNvPr id="0" name="11_Salesforce_opportunities_verified.png"/>
                    <pic:cNvPicPr/>
                  </pic:nvPicPr>
                  <pic:blipFill>
                    <a:blip r:embed="rId40"/>
                    <a:stretch>
                      <a:fillRect/>
                    </a:stretch>
                  </pic:blipFill>
                  <pic:spPr>
                    <a:xfrm>
                      <a:off x="0" y="0"/>
                      <a:ext cx="5394960" cy="3034665"/>
                    </a:xfrm>
                    <a:prstGeom prst="rect"/>
                  </pic:spPr>
                </pic:pic>
              </a:graphicData>
            </a:graphic>
          </wp:inline>
        </w:drawing>
      </w:r>
    </w:p>
    <w:p>
      <w:pPr>
        <w:jc w:val="center"/>
      </w:pPr>
      <w:r>
        <w:rPr>
          <w:i/>
          <w:color w:val="60646B"/>
          <w:sz w:val="17"/>
        </w:rPr>
        <w:t>Salesforce opportunities verified</w:t>
      </w:r>
    </w:p>
    <w:p>
      <w:pPr>
        <w:jc w:val="center"/>
      </w:pPr>
      <w:r>
        <w:drawing>
          <wp:inline xmlns:a="http://schemas.openxmlformats.org/drawingml/2006/main" xmlns:pic="http://schemas.openxmlformats.org/drawingml/2006/picture">
            <wp:extent cx="5394960" cy="2567148"/>
            <wp:docPr id="33" name="Picture 33"/>
            <wp:cNvGraphicFramePr>
              <a:graphicFrameLocks noChangeAspect="1"/>
            </wp:cNvGraphicFramePr>
            <a:graphic>
              <a:graphicData uri="http://schemas.openxmlformats.org/drawingml/2006/picture">
                <pic:pic>
                  <pic:nvPicPr>
                    <pic:cNvPr id="0" name="12_NiFi_salesforce_to_fabric_clean.png"/>
                    <pic:cNvPicPr/>
                  </pic:nvPicPr>
                  <pic:blipFill>
                    <a:blip r:embed="rId41"/>
                    <a:stretch>
                      <a:fillRect/>
                    </a:stretch>
                  </pic:blipFill>
                  <pic:spPr>
                    <a:xfrm>
                      <a:off x="0" y="0"/>
                      <a:ext cx="5394960" cy="2567148"/>
                    </a:xfrm>
                    <a:prstGeom prst="rect"/>
                  </pic:spPr>
                </pic:pic>
              </a:graphicData>
            </a:graphic>
          </wp:inline>
        </w:drawing>
      </w:r>
    </w:p>
    <w:p>
      <w:pPr>
        <w:jc w:val="center"/>
      </w:pPr>
      <w:r>
        <w:rPr>
          <w:i/>
          <w:color w:val="60646B"/>
          <w:sz w:val="17"/>
        </w:rPr>
        <w:t>NiFi salesforce to fabric clean</w:t>
      </w:r>
    </w:p>
    <w:p>
      <w:pPr>
        <w:pStyle w:val="Heading2"/>
        <w:spacing w:before="320"/>
      </w:pPr>
      <w:r>
        <w:rPr>
          <w:rFonts w:ascii="Calibri" w:hAnsi="Calibri"/>
          <w:b/>
          <w:color w:val="1D1D1B"/>
          <w:sz w:val="34"/>
        </w:rPr>
        <w:t>7.5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fif"/><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