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303,656</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R2,328.1m</w:t>
            </w:r>
          </w:p>
        </w:tc>
      </w:tr>
      <w:tr>
        <w:tc>
          <w:tcPr>
            <w:tcW w:type="dxa" w:w="4320"/>
          </w:tcPr>
          <w:p>
            <w:r>
              <w:t>Data quality issues detected</w:t>
            </w:r>
          </w:p>
        </w:tc>
        <w:tc>
          <w:tcPr>
            <w:tcW w:type="dxa" w:w="4320"/>
          </w:tcPr>
          <w:p>
            <w:r>
              <w:t>329,994</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R1,848 and R2,874 across channels, on a return of 2.6x to 4.2x. Career expo returns the most per rand at 4.19x; Print the least at 2.65x.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320"/>
      </w:pPr>
      <w:r>
        <w:rPr>
          <w:rFonts w:ascii="Calibri" w:hAnsi="Calibri"/>
          <w:b/>
          <w:color w:val="1D1D1B"/>
          <w:sz w:val="34"/>
        </w:rPr>
        <w:t>2.3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6" name="Picture 6"/>
            <wp:cNvGraphicFramePr>
              <a:graphicFrameLocks noChangeAspect="1"/>
            </wp:cNvGraphicFramePr>
            <a:graphic>
              <a:graphicData uri="http://schemas.openxmlformats.org/drawingml/2006/picture">
                <pic:pic>
                  <pic:nvPicPr>
                    <pic:cNvPr id="0" name="risk.png"/>
                    <pic:cNvPicPr/>
                  </pic:nvPicPr>
                  <pic:blipFill>
                    <a:blip r:embed="rId14"/>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2.4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2,941,380 injected defects the pipeline detects 329,994 issues. De-duplication recovers 0.97 of the duplicates that were planted.</w:t>
      </w:r>
    </w:p>
    <w:p>
      <w:pPr>
        <w:pStyle w:val="Heading3"/>
        <w:spacing w:before="240"/>
      </w:pPr>
      <w:r>
        <w:rPr>
          <w:rFonts w:ascii="Calibri" w:hAnsi="Calibri"/>
          <w:b/>
          <w:color w:val="1D1D1B"/>
          <w:sz w:val="26"/>
        </w:rPr>
        <w:t>2.4.1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7" name="Picture 7"/>
            <wp:cNvGraphicFramePr>
              <a:graphicFrameLocks noChangeAspect="1"/>
            </wp:cNvGraphicFramePr>
            <a:graphic>
              <a:graphicData uri="http://schemas.openxmlformats.org/drawingml/2006/picture">
                <pic:pic>
                  <pic:nvPicPr>
                    <pic:cNvPr id="0" name="dq.png"/>
                    <pic:cNvPicPr/>
                  </pic:nvPicPr>
                  <pic:blipFill>
                    <a:blip r:embed="rId15"/>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320"/>
      </w:pPr>
      <w:r>
        <w:rPr>
          <w:rFonts w:ascii="Calibri" w:hAnsi="Calibri"/>
          <w:b/>
          <w:color w:val="1D1D1B"/>
          <w:sz w:val="34"/>
        </w:rPr>
        <w:t>2.5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prog_demand.png"/>
                    <pic:cNvPicPr/>
                  </pic:nvPicPr>
                  <pic:blipFill>
                    <a:blip r:embed="rId16"/>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2.5.1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9" name="Picture 9"/>
            <wp:cNvGraphicFramePr>
              <a:graphicFrameLocks noChangeAspect="1"/>
            </wp:cNvGraphicFramePr>
            <a:graphic>
              <a:graphicData uri="http://schemas.openxmlformats.org/drawingml/2006/picture">
                <pic:pic>
                  <pic:nvPicPr>
                    <pic:cNvPr id="0" name="province.png"/>
                    <pic:cNvPicPr/>
                  </pic:nvPicPr>
                  <pic:blipFill>
                    <a:blip r:embed="rId17"/>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0" name="Picture 10"/>
            <wp:cNvGraphicFramePr>
              <a:graphicFrameLocks noChangeAspect="1"/>
            </wp:cNvGraphicFramePr>
            <a:graphic>
              <a:graphicData uri="http://schemas.openxmlformats.org/drawingml/2006/picture">
                <pic:pic>
                  <pic:nvPicPr>
                    <pic:cNvPr id="0" name="student-cohort.jfif"/>
                    <pic:cNvPicPr/>
                  </pic:nvPicPr>
                  <pic:blipFill>
                    <a:blip r:embed="rId18"/>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2.5.2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1" name="Picture 11"/>
            <wp:cNvGraphicFramePr>
              <a:graphicFrameLocks noChangeAspect="1"/>
            </wp:cNvGraphicFramePr>
            <a:graphic>
              <a:graphicData uri="http://schemas.openxmlformats.org/drawingml/2006/picture">
                <pic:pic>
                  <pic:nvPicPr>
                    <pic:cNvPr id="0" name="conversion.png"/>
                    <pic:cNvPicPr/>
                  </pic:nvPicPr>
                  <pic:blipFill>
                    <a:blip r:embed="rId19"/>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2.6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2.7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2.8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2" name="Picture 12"/>
            <wp:cNvGraphicFramePr>
              <a:graphicFrameLocks noChangeAspect="1"/>
            </wp:cNvGraphicFramePr>
            <a:graphic>
              <a:graphicData uri="http://schemas.openxmlformats.org/drawingml/2006/picture">
                <pic:pic>
                  <pic:nvPicPr>
                    <pic:cNvPr id="0" name="ev_01_org_check.png"/>
                    <pic:cNvPicPr/>
                  </pic:nvPicPr>
                  <pic:blipFill>
                    <a:blip r:embed="rId20"/>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3" name="Picture 13"/>
            <wp:cNvGraphicFramePr>
              <a:graphicFrameLocks noChangeAspect="1"/>
            </wp:cNvGraphicFramePr>
            <a:graphic>
              <a:graphicData uri="http://schemas.openxmlformats.org/drawingml/2006/picture">
                <pic:pic>
                  <pic:nvPicPr>
                    <pic:cNvPr id="0" name="ev_02_metadata_validate.png"/>
                    <pic:cNvPicPr/>
                  </pic:nvPicPr>
                  <pic:blipFill>
                    <a:blip r:embed="rId21"/>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4" name="Picture 14"/>
            <wp:cNvGraphicFramePr>
              <a:graphicFrameLocks noChangeAspect="1"/>
            </wp:cNvGraphicFramePr>
            <a:graphic>
              <a:graphicData uri="http://schemas.openxmlformats.org/drawingml/2006/picture">
                <pic:pic>
                  <pic:nvPicPr>
                    <pic:cNvPr id="0" name="ev_03_import_result.png"/>
                    <pic:cNvPicPr/>
                  </pic:nvPicPr>
                  <pic:blipFill>
                    <a:blip r:embed="rId22"/>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5" name="Picture 15"/>
            <wp:cNvGraphicFramePr>
              <a:graphicFrameLocks noChangeAspect="1"/>
            </wp:cNvGraphicFramePr>
            <a:graphic>
              <a:graphicData uri="http://schemas.openxmlformats.org/drawingml/2006/picture">
                <pic:pic>
                  <pic:nvPicPr>
                    <pic:cNvPr id="0" name="ev_04_org_counts.png"/>
                    <pic:cNvPicPr/>
                  </pic:nvPicPr>
                  <pic:blipFill>
                    <a:blip r:embed="rId23"/>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6" name="Picture 16"/>
            <wp:cNvGraphicFramePr>
              <a:graphicFrameLocks noChangeAspect="1"/>
            </wp:cNvGraphicFramePr>
            <a:graphic>
              <a:graphicData uri="http://schemas.openxmlformats.org/drawingml/2006/picture">
                <pic:pic>
                  <pic:nvPicPr>
                    <pic:cNvPr id="0" name="ev_05_extraction.png"/>
                    <pic:cNvPicPr/>
                  </pic:nvPicPr>
                  <pic:blipFill>
                    <a:blip r:embed="rId24"/>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7" name="Picture 17"/>
            <wp:cNvGraphicFramePr>
              <a:graphicFrameLocks noChangeAspect="1"/>
            </wp:cNvGraphicFramePr>
            <a:graphic>
              <a:graphicData uri="http://schemas.openxmlformats.org/drawingml/2006/picture">
                <pic:pic>
                  <pic:nvPicPr>
                    <pic:cNvPr id="0" name="ev_06_dbt_tests.png"/>
                    <pic:cNvPicPr/>
                  </pic:nvPicPr>
                  <pic:blipFill>
                    <a:blip r:embed="rId25"/>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8" name="Picture 18"/>
            <wp:cNvGraphicFramePr>
              <a:graphicFrameLocks noChangeAspect="1"/>
            </wp:cNvGraphicFramePr>
            <a:graphic>
              <a:graphicData uri="http://schemas.openxmlformats.org/drawingml/2006/picture">
                <pic:pic>
                  <pic:nvPicPr>
                    <pic:cNvPr id="0" name="ml_bands.png"/>
                    <pic:cNvPicPr/>
                  </pic:nvPicPr>
                  <pic:blipFill>
                    <a:blip r:embed="rId26"/>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importance.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0" name="Picture 20"/>
            <wp:cNvGraphicFramePr>
              <a:graphicFrameLocks noChangeAspect="1"/>
            </wp:cNvGraphicFramePr>
            <a:graphic>
              <a:graphicData uri="http://schemas.openxmlformats.org/drawingml/2006/picture">
                <pic:pic>
                  <pic:nvPicPr>
                    <pic:cNvPr id="0" name="ev_09_medallion.png"/>
                    <pic:cNvPicPr/>
                  </pic:nvPicPr>
                  <pic:blipFill>
                    <a:blip r:embed="rId28"/>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5.1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1" name="Picture 21"/>
            <wp:cNvGraphicFramePr>
              <a:graphicFrameLocks noChangeAspect="1"/>
            </wp:cNvGraphicFramePr>
            <a:graphic>
              <a:graphicData uri="http://schemas.openxmlformats.org/drawingml/2006/picture">
                <pic:pic>
                  <pic:nvPicPr>
                    <pic:cNvPr id="0" name="ev_10_data_model.png"/>
                    <pic:cNvPicPr/>
                  </pic:nvPicPr>
                  <pic:blipFill>
                    <a:blip r:embed="rId29"/>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6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6.1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2" name="Picture 22"/>
            <wp:cNvGraphicFramePr>
              <a:graphicFrameLocks noChangeAspect="1"/>
            </wp:cNvGraphicFramePr>
            <a:graphic>
              <a:graphicData uri="http://schemas.openxmlformats.org/drawingml/2006/picture">
                <pic:pic>
                  <pic:nvPicPr>
                    <pic:cNvPr id="0" name="ev_07_nifi_flow.png"/>
                    <pic:cNvPicPr/>
                  </pic:nvPicPr>
                  <pic:blipFill>
                    <a:blip r:embed="rId30"/>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6.2  Microsoft Fabric</w:t>
      </w:r>
    </w:p>
    <w:p>
      <w:r>
        <w:t>The warehouse lands in OneLake as a bronze layer, partitioned by table. Two things are worth knowing for anyone repeating this: a workspace created through the API arrives with no capacity attached, and every Fabric item type then fails with a 403 that reads like a licensing problem rather than an unassigned workspace. And a trial capacity does not stop on its own - the workspace should be deleted when the work is done.</w:t>
      </w:r>
    </w:p>
    <w:p>
      <w:pPr>
        <w:jc w:val="center"/>
      </w:pPr>
      <w:r>
        <w:drawing>
          <wp:inline xmlns:a="http://schemas.openxmlformats.org/drawingml/2006/main" xmlns:pic="http://schemas.openxmlformats.org/drawingml/2006/picture">
            <wp:extent cx="5577840" cy="3651832"/>
            <wp:docPr id="23" name="Picture 23"/>
            <wp:cNvGraphicFramePr>
              <a:graphicFrameLocks noChangeAspect="1"/>
            </wp:cNvGraphicFramePr>
            <a:graphic>
              <a:graphicData uri="http://schemas.openxmlformats.org/drawingml/2006/picture">
                <pic:pic>
                  <pic:nvPicPr>
                    <pic:cNvPr id="0" name="ev_08_fabric.png"/>
                    <pic:cNvPicPr/>
                  </pic:nvPicPr>
                  <pic:blipFill>
                    <a:blip r:embed="rId31"/>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 - listed back rather than assumed from the upload's own success message.</w:t>
      </w:r>
    </w:p>
    <w:p>
      <w:pPr>
        <w:pStyle w:val="Heading2"/>
        <w:spacing w:before="240"/>
      </w:pPr>
      <w:r>
        <w:rPr>
          <w:rFonts w:ascii="Calibri" w:hAnsi="Calibri"/>
          <w:b/>
          <w:color w:val="1D1D1B"/>
          <w:sz w:val="32"/>
        </w:rPr>
        <w:t>6.3  GA4 to Fabric — the next integration, not a claimed result</w:t>
      </w:r>
    </w:p>
    <w:p>
      <w:r>
        <w:t>A GA4 NiFi builder is included, but it has no configured GA4 credential, successful extract or warehouse source table, and no report number uses GA4 data. The practical next route is a scheduled GA4 Data API extract or a BigQuery export into an immutable OneLake bronze partition by event date. A dbt staging model would then conform date and campaign keys before a gold attribution mart joins aggregate reach and traffic to the campaign spine already used by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048113"/>
            <wp:docPr id="24" name="Picture 24"/>
            <wp:cNvGraphicFramePr>
              <a:graphicFrameLocks noChangeAspect="1"/>
            </wp:cNvGraphicFramePr>
            <a:graphic>
              <a:graphicData uri="http://schemas.openxmlformats.org/drawingml/2006/picture">
                <pic:pic>
                  <pic:nvPicPr>
                    <pic:cNvPr id="0" name="ga4_to_fabric.png"/>
                    <pic:cNvPicPr/>
                  </pic:nvPicPr>
                  <pic:blipFill>
                    <a:blip r:embed="rId32"/>
                    <a:stretch>
                      <a:fillRect/>
                    </a:stretch>
                  </pic:blipFill>
                  <pic:spPr>
                    <a:xfrm>
                      <a:off x="0" y="0"/>
                      <a:ext cx="5577840" cy="2048113"/>
                    </a:xfrm>
                    <a:prstGeom prst="rect"/>
                  </pic:spPr>
                </pic:pic>
              </a:graphicData>
            </a:graphic>
          </wp:inline>
        </w:drawing>
      </w:r>
    </w:p>
    <w:p>
      <w:pPr>
        <w:jc w:val="center"/>
      </w:pPr>
      <w:r>
        <w:rPr>
          <w:i/>
          <w:color w:val="60646B"/>
          <w:sz w:val="17"/>
        </w:rPr>
        <w:t>Figure 13 - Proposed GA4 extension. It is intentionally separated from the verified Salesforce-to-Fabric flow.</w:t>
      </w:r>
    </w:p>
    <w:p>
      <w:pPr>
        <w:pStyle w:val="Heading2"/>
        <w:spacing w:before="240"/>
      </w:pPr>
      <w:r>
        <w:rPr>
          <w:rFonts w:ascii="Calibri" w:hAnsi="Calibri"/>
          <w:b/>
          <w:color w:val="1D1D1B"/>
          <w:sz w:val="32"/>
        </w:rPr>
        <w:t>6.4  Screens from the org</w:t>
      </w:r>
    </w:p>
    <w:p>
      <w:pPr>
        <w:jc w:val="center"/>
      </w:pPr>
      <w:r>
        <w:drawing>
          <wp:inline xmlns:a="http://schemas.openxmlformats.org/drawingml/2006/main" xmlns:pic="http://schemas.openxmlformats.org/drawingml/2006/picture">
            <wp:extent cx="5394960" cy="4650828"/>
            <wp:docPr id="25" name="Picture 25"/>
            <wp:cNvGraphicFramePr>
              <a:graphicFrameLocks noChangeAspect="1"/>
            </wp:cNvGraphicFramePr>
            <a:graphic>
              <a:graphicData uri="http://schemas.openxmlformats.org/drawingml/2006/picture">
                <pic:pic>
                  <pic:nvPicPr>
                    <pic:cNvPr id="0" name="03_Canonical_ERD.png"/>
                    <pic:cNvPicPr/>
                  </pic:nvPicPr>
                  <pic:blipFill>
                    <a:blip r:embed="rId33"/>
                    <a:stretch>
                      <a:fillRect/>
                    </a:stretch>
                  </pic:blipFill>
                  <pic:spPr>
                    <a:xfrm>
                      <a:off x="0" y="0"/>
                      <a:ext cx="5394960" cy="4650828"/>
                    </a:xfrm>
                    <a:prstGeom prst="rect"/>
                  </pic:spPr>
                </pic:pic>
              </a:graphicData>
            </a:graphic>
          </wp:inline>
        </w:drawing>
      </w:r>
    </w:p>
    <w:p>
      <w:pPr>
        <w:jc w:val="center"/>
      </w:pPr>
      <w:r>
        <w:rPr>
          <w:i/>
          <w:color w:val="60646B"/>
          <w:sz w:val="17"/>
        </w:rPr>
        <w:t>Canonical ERD</w:t>
      </w:r>
    </w:p>
    <w:p>
      <w:pPr>
        <w:pStyle w:val="Heading2"/>
        <w:spacing w:before="320"/>
      </w:pPr>
      <w:r>
        <w:rPr>
          <w:rFonts w:ascii="Calibri" w:hAnsi="Calibri"/>
          <w:b/>
          <w:color w:val="1D1D1B"/>
          <w:sz w:val="34"/>
        </w:rPr>
        <w:t>6.5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and page section alone was not treated as proof of delivery mode.</w:t>
      </w:r>
    </w:p>
    <w:p>
      <w:pPr>
        <w:pStyle w:val="ListBullet"/>
      </w:pPr>
      <w:r>
        <w:t>All people, campaign spend, application outcomes and student results are synthetic. Progress dated after the capture date is an illustrative scenario, not a forecast.</w:t>
      </w:r>
    </w:p>
    <w:p>
      <w:pPr>
        <w:pStyle w:val="ListBullet"/>
      </w:pPr>
      <w:r>
        <w:t>The pipeline has been validated locally against DuckDB and a live NiFi instance. Deployment to a Salesforce org and a Fabric workspace requires credentials that are deliberately absent from this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fif"/><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