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Pr>
        <w:pStyle w:val="Heading2"/>
        <w:spacing w:before="240"/>
      </w:pPr>
      <w:r>
        <w:rPr>
          <w:rFonts w:ascii="Calibri" w:hAnsi="Calibri"/>
          <w:b/>
          <w:color w:val="1D1D1B"/>
          <w:sz w:val="32"/>
        </w:rPr>
        <w:t>1.2  What, why and how</w:t>
      </w:r>
    </w:p>
    <w:p>
      <w:r>
        <w:t>Every section follows the same reading rule. What names the data or decision being shown. Why explains the business question it answers. How tells the reader which filter, comparison or action to use next. The captions and dashboard subtitles use the same language so the document and report remain self-explanatory when they are read separately.</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320"/>
      </w:pPr>
      <w:r>
        <w:rPr>
          <w:rFonts w:ascii="Calibri" w:hAnsi="Calibri"/>
          <w:b/>
          <w:color w:val="1D1D1B"/>
          <w:sz w:val="34"/>
        </w:rPr>
        <w:t>2.6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2.6.1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0" name="Picture 10"/>
            <wp:cNvGraphicFramePr>
              <a:graphicFrameLocks noChangeAspect="1"/>
            </wp:cNvGraphicFramePr>
            <a:graphic>
              <a:graphicData uri="http://schemas.openxmlformats.org/drawingml/2006/picture">
                <pic:pic>
                  <pic:nvPicPr>
                    <pic:cNvPr id="0" name="province.png"/>
                    <pic:cNvPicPr/>
                  </pic:nvPicPr>
                  <pic:blipFill>
                    <a:blip r:embed="rId18"/>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1" name="Picture 11"/>
            <wp:cNvGraphicFramePr>
              <a:graphicFrameLocks noChangeAspect="1"/>
            </wp:cNvGraphicFramePr>
            <a:graphic>
              <a:graphicData uri="http://schemas.openxmlformats.org/drawingml/2006/picture">
                <pic:pic>
                  <pic:nvPicPr>
                    <pic:cNvPr id="0" name="student-cohort.jfif"/>
                    <pic:cNvPicPr/>
                  </pic:nvPicPr>
                  <pic:blipFill>
                    <a:blip r:embed="rId19"/>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2.6.2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2" name="Picture 12"/>
            <wp:cNvGraphicFramePr>
              <a:graphicFrameLocks noChangeAspect="1"/>
            </wp:cNvGraphicFramePr>
            <a:graphic>
              <a:graphicData uri="http://schemas.openxmlformats.org/drawingml/2006/picture">
                <pic:pic>
                  <pic:nvPicPr>
                    <pic:cNvPr id="0" name="conversion.png"/>
                    <pic:cNvPicPr/>
                  </pic:nvPicPr>
                  <pic:blipFill>
                    <a:blip r:embed="rId20"/>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2.7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2.8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2.9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3" name="Picture 13"/>
            <wp:cNvGraphicFramePr>
              <a:graphicFrameLocks noChangeAspect="1"/>
            </wp:cNvGraphicFramePr>
            <a:graphic>
              <a:graphicData uri="http://schemas.openxmlformats.org/drawingml/2006/picture">
                <pic:pic>
                  <pic:nvPicPr>
                    <pic:cNvPr id="0" name="ev_01_org_check.png"/>
                    <pic:cNvPicPr/>
                  </pic:nvPicPr>
                  <pic:blipFill>
                    <a:blip r:embed="rId21"/>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4" name="Picture 14"/>
            <wp:cNvGraphicFramePr>
              <a:graphicFrameLocks noChangeAspect="1"/>
            </wp:cNvGraphicFramePr>
            <a:graphic>
              <a:graphicData uri="http://schemas.openxmlformats.org/drawingml/2006/picture">
                <pic:pic>
                  <pic:nvPicPr>
                    <pic:cNvPr id="0" name="ev_02_metadata_validate.png"/>
                    <pic:cNvPicPr/>
                  </pic:nvPicPr>
                  <pic:blipFill>
                    <a:blip r:embed="rId22"/>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5" name="Picture 15"/>
            <wp:cNvGraphicFramePr>
              <a:graphicFrameLocks noChangeAspect="1"/>
            </wp:cNvGraphicFramePr>
            <a:graphic>
              <a:graphicData uri="http://schemas.openxmlformats.org/drawingml/2006/picture">
                <pic:pic>
                  <pic:nvPicPr>
                    <pic:cNvPr id="0" name="ev_03_import_result.png"/>
                    <pic:cNvPicPr/>
                  </pic:nvPicPr>
                  <pic:blipFill>
                    <a:blip r:embed="rId23"/>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6" name="Picture 16"/>
            <wp:cNvGraphicFramePr>
              <a:graphicFrameLocks noChangeAspect="1"/>
            </wp:cNvGraphicFramePr>
            <a:graphic>
              <a:graphicData uri="http://schemas.openxmlformats.org/drawingml/2006/picture">
                <pic:pic>
                  <pic:nvPicPr>
                    <pic:cNvPr id="0" name="ev_04_org_counts.png"/>
                    <pic:cNvPicPr/>
                  </pic:nvPicPr>
                  <pic:blipFill>
                    <a:blip r:embed="rId24"/>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7" name="Picture 17"/>
            <wp:cNvGraphicFramePr>
              <a:graphicFrameLocks noChangeAspect="1"/>
            </wp:cNvGraphicFramePr>
            <a:graphic>
              <a:graphicData uri="http://schemas.openxmlformats.org/drawingml/2006/picture">
                <pic:pic>
                  <pic:nvPicPr>
                    <pic:cNvPr id="0" name="ev_05_extraction.png"/>
                    <pic:cNvPicPr/>
                  </pic:nvPicPr>
                  <pic:blipFill>
                    <a:blip r:embed="rId25"/>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8" name="Picture 18"/>
            <wp:cNvGraphicFramePr>
              <a:graphicFrameLocks noChangeAspect="1"/>
            </wp:cNvGraphicFramePr>
            <a:graphic>
              <a:graphicData uri="http://schemas.openxmlformats.org/drawingml/2006/picture">
                <pic:pic>
                  <pic:nvPicPr>
                    <pic:cNvPr id="0" name="ev_06_dbt_tests.png"/>
                    <pic:cNvPicPr/>
                  </pic:nvPicPr>
                  <pic:blipFill>
                    <a:blip r:embed="rId26"/>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bands.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0" name="Picture 20"/>
            <wp:cNvGraphicFramePr>
              <a:graphicFrameLocks noChangeAspect="1"/>
            </wp:cNvGraphicFramePr>
            <a:graphic>
              <a:graphicData uri="http://schemas.openxmlformats.org/drawingml/2006/picture">
                <pic:pic>
                  <pic:nvPicPr>
                    <pic:cNvPr id="0" name="ml_importance.png"/>
                    <pic:cNvPicPr/>
                  </pic:nvPicPr>
                  <pic:blipFill>
                    <a:blip r:embed="rId28"/>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1" name="Picture 21"/>
            <wp:cNvGraphicFramePr>
              <a:graphicFrameLocks noChangeAspect="1"/>
            </wp:cNvGraphicFramePr>
            <a:graphic>
              <a:graphicData uri="http://schemas.openxmlformats.org/drawingml/2006/picture">
                <pic:pic>
                  <pic:nvPicPr>
                    <pic:cNvPr id="0" name="ev_09_medallion.png"/>
                    <pic:cNvPicPr/>
                  </pic:nvPicPr>
                  <pic:blipFill>
                    <a:blip r:embed="rId29"/>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251960"/>
            <wp:docPr id="22" name="Picture 22"/>
            <wp:cNvGraphicFramePr>
              <a:graphicFrameLocks noChangeAspect="1"/>
            </wp:cNvGraphicFramePr>
            <a:graphic>
              <a:graphicData uri="http://schemas.openxmlformats.org/drawingml/2006/picture">
                <pic:pic>
                  <pic:nvPicPr>
                    <pic:cNvPr id="0" name="03_Canonical_ERD.png"/>
                    <pic:cNvPicPr/>
                  </pic:nvPicPr>
                  <pic:blipFill>
                    <a:blip r:embed="rId30"/>
                    <a:stretch>
                      <a:fillRect/>
                    </a:stretch>
                  </pic:blipFill>
                  <pic:spPr>
                    <a:xfrm>
                      <a:off x="0" y="0"/>
                      <a:ext cx="5669280" cy="425196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3" name="Picture 23"/>
            <wp:cNvGraphicFramePr>
              <a:graphicFrameLocks noChangeAspect="1"/>
            </wp:cNvGraphicFramePr>
            <a:graphic>
              <a:graphicData uri="http://schemas.openxmlformats.org/drawingml/2006/picture">
                <pic:pic>
                  <pic:nvPicPr>
                    <pic:cNvPr id="0" name="ev_10_data_model.png"/>
                    <pic:cNvPicPr/>
                  </pic:nvPicPr>
                  <pic:blipFill>
                    <a:blip r:embed="rId31"/>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4" name="Picture 24"/>
            <wp:cNvGraphicFramePr>
              <a:graphicFrameLocks noChangeAspect="1"/>
            </wp:cNvGraphicFramePr>
            <a:graphic>
              <a:graphicData uri="http://schemas.openxmlformats.org/drawingml/2006/picture">
                <pic:pic>
                  <pic:nvPicPr>
                    <pic:cNvPr id="0" name="ev_07_nifi_flow.png"/>
                    <pic:cNvPicPr/>
                  </pic:nvPicPr>
                  <pic:blipFill>
                    <a:blip r:embed="rId32"/>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25" name="Picture 25"/>
            <wp:cNvGraphicFramePr>
              <a:graphicFrameLocks noChangeAspect="1"/>
            </wp:cNvGraphicFramePr>
            <a:graphic>
              <a:graphicData uri="http://schemas.openxmlformats.org/drawingml/2006/picture">
                <pic:pic>
                  <pic:nvPicPr>
                    <pic:cNvPr id="0" name="ev_08_fabric.png"/>
                    <pic:cNvPicPr/>
                  </pic:nvPicPr>
                  <pic:blipFill>
                    <a:blip r:embed="rId33"/>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the next integration, not a claimed result</w:t>
      </w:r>
    </w:p>
    <w:p>
      <w:r>
        <w:t>A GA4 NiFi builder is included, but it has no configured GA4 credential, successful extract or warehouse source table, and no report number uses GA4 data. The practical next route is a scheduled GA4 Data API extract or a BigQuery export into an immutable OneLake bronze partition by event date. A dbt staging model would then conform date and campaign keys before a gold attribution mart joins aggregate reach and traffic to the campaign spine already used by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052955"/>
            <wp:docPr id="26" name="Picture 26"/>
            <wp:cNvGraphicFramePr>
              <a:graphicFrameLocks noChangeAspect="1"/>
            </wp:cNvGraphicFramePr>
            <a:graphic>
              <a:graphicData uri="http://schemas.openxmlformats.org/drawingml/2006/picture">
                <pic:pic>
                  <pic:nvPicPr>
                    <pic:cNvPr id="0" name="ga4_to_fabric.png"/>
                    <pic:cNvPicPr/>
                  </pic:nvPicPr>
                  <pic:blipFill>
                    <a:blip r:embed="rId34"/>
                    <a:stretch>
                      <a:fillRect/>
                    </a:stretch>
                  </pic:blipFill>
                  <pic:spPr>
                    <a:xfrm>
                      <a:off x="0" y="0"/>
                      <a:ext cx="5577840" cy="2052955"/>
                    </a:xfrm>
                    <a:prstGeom prst="rect"/>
                  </pic:spPr>
                </pic:pic>
              </a:graphicData>
            </a:graphic>
          </wp:inline>
        </w:drawing>
      </w:r>
    </w:p>
    <w:p>
      <w:pPr>
        <w:jc w:val="center"/>
      </w:pPr>
      <w:r>
        <w:rPr>
          <w:i/>
          <w:color w:val="60646B"/>
          <w:sz w:val="17"/>
        </w:rPr>
        <w:t>Figure 13 - Proposed GA4 extension. It is intentionally separated from the verified Salesforce-to-Fabric flow.</w:t>
      </w:r>
    </w:p>
    <w:p>
      <w:pPr>
        <w:pStyle w:val="Heading2"/>
        <w:spacing w:before="240"/>
      </w:pPr>
      <w:r>
        <w:rPr>
          <w:rFonts w:ascii="Calibri" w:hAnsi="Calibri"/>
          <w:b/>
          <w:color w:val="1D1D1B"/>
          <w:sz w:val="32"/>
        </w:rPr>
        <w:t>7.4  Screens from the org</w:t>
      </w:r>
    </w:p>
    <w:p>
      <w:pPr>
        <w:jc w:val="center"/>
      </w:pPr>
      <w:r>
        <w:drawing>
          <wp:inline xmlns:a="http://schemas.openxmlformats.org/drawingml/2006/main" xmlns:pic="http://schemas.openxmlformats.org/drawingml/2006/picture">
            <wp:extent cx="5394960" cy="3260690"/>
            <wp:docPr id="27" name="Picture 27"/>
            <wp:cNvGraphicFramePr>
              <a:graphicFrameLocks noChangeAspect="1"/>
            </wp:cNvGraphicFramePr>
            <a:graphic>
              <a:graphicData uri="http://schemas.openxmlformats.org/drawingml/2006/picture">
                <pic:pic>
                  <pic:nvPicPr>
                    <pic:cNvPr id="0" name="06_PowerBI_predictive_actions.png"/>
                    <pic:cNvPicPr/>
                  </pic:nvPicPr>
                  <pic:blipFill>
                    <a:blip r:embed="rId35"/>
                    <a:stretch>
                      <a:fillRect/>
                    </a:stretch>
                  </pic:blipFill>
                  <pic:spPr>
                    <a:xfrm>
                      <a:off x="0" y="0"/>
                      <a:ext cx="5394960" cy="3260690"/>
                    </a:xfrm>
                    <a:prstGeom prst="rect"/>
                  </pic:spPr>
                </pic:pic>
              </a:graphicData>
            </a:graphic>
          </wp:inline>
        </w:drawing>
      </w:r>
    </w:p>
    <w:p>
      <w:pPr>
        <w:jc w:val="center"/>
      </w:pPr>
      <w:r>
        <w:rPr>
          <w:i/>
          <w:color w:val="60646B"/>
          <w:sz w:val="17"/>
        </w:rPr>
        <w:t>PowerBI predictive actions</w:t>
      </w:r>
    </w:p>
    <w:p>
      <w:pPr>
        <w:pStyle w:val="Heading2"/>
        <w:spacing w:before="320"/>
      </w:pPr>
      <w:r>
        <w:rPr>
          <w:rFonts w:ascii="Calibri" w:hAnsi="Calibri"/>
          <w:b/>
          <w:color w:val="1D1D1B"/>
          <w:sz w:val="34"/>
        </w:rPr>
        <w:t>7.5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fif"/><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