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Course performance and early dropout risk</w:t>
      </w:r>
    </w:p>
    <w:p>
      <w:r>
        <w:t>Courses are ranked on the same first-four-week withdrawal model used in Power BI. Among cohorts with at least 100 records, Design Thinking has the lowest observed withdrawal rate (11.6%), while Part-Time Higher Certificate in Marketing and Branding is highest (13.3%). These are modelled synthetic cohorts, so the ranking is a prioritisation signal rather than a claim about the real institution.</w:t>
      </w:r>
    </w:p>
    <w:p>
      <w:r>
        <w:t>Use the ranking with attendance and assessment together: a course moves into early-warning review when first-month attendance falls below 65% or the predicted band is Elevated. Review cohort size, delivery mode and fee context before changing course marketing or student-support policy.</w:t>
      </w:r>
    </w:p>
    <w:p>
      <w:pPr>
        <w:jc w:val="center"/>
      </w:pPr>
      <w:r>
        <w:drawing>
          <wp:inline xmlns:a="http://schemas.openxmlformats.org/drawingml/2006/main" xmlns:pic="http://schemas.openxmlformats.org/drawingml/2006/picture">
            <wp:extent cx="5577840" cy="3224689"/>
            <wp:docPr id="10" name="Picture 10"/>
            <wp:cNvGraphicFramePr>
              <a:graphicFrameLocks noChangeAspect="1"/>
            </wp:cNvGraphicFramePr>
            <a:graphic>
              <a:graphicData uri="http://schemas.openxmlformats.org/drawingml/2006/picture">
                <pic:pic>
                  <pic:nvPicPr>
                    <pic:cNvPr id="0" name="prog_risk.png"/>
                    <pic:cNvPicPr/>
                  </pic:nvPicPr>
                  <pic:blipFill>
                    <a:blip r:embed="rId18"/>
                    <a:stretch>
                      <a:fillRect/>
                    </a:stretch>
                  </pic:blipFill>
                  <pic:spPr>
                    <a:xfrm>
                      <a:off x="0" y="0"/>
                      <a:ext cx="5577840" cy="3224689"/>
                    </a:xfrm>
                    <a:prstGeom prst="rect"/>
                  </pic:spPr>
                </pic:pic>
              </a:graphicData>
            </a:graphic>
          </wp:inline>
        </w:drawing>
      </w:r>
    </w:p>
    <w:p>
      <w:pPr>
        <w:jc w:val="center"/>
      </w:pPr>
      <w:r>
        <w:rPr>
          <w:i/>
          <w:color w:val="60646B"/>
          <w:sz w:val="17"/>
        </w:rPr>
        <w:t>Figure 4a - Lowest- and highest-withdrawal courses among modelled cohorts of at least 100 records.</w:t>
      </w:r>
    </w:p>
    <w:p>
      <w:pPr>
        <w:pStyle w:val="Heading3"/>
        <w:spacing w:before="240"/>
      </w:pPr>
      <w:r>
        <w:rPr>
          <w:rFonts w:ascii="Calibri" w:hAnsi="Calibri"/>
          <w:b/>
          <w:color w:val="1D1D1B"/>
          <w:sz w:val="26"/>
        </w:rPr>
        <w:t>2.7.2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1" name="Picture 11"/>
            <wp:cNvGraphicFramePr>
              <a:graphicFrameLocks noChangeAspect="1"/>
            </wp:cNvGraphicFramePr>
            <a:graphic>
              <a:graphicData uri="http://schemas.openxmlformats.org/drawingml/2006/picture">
                <pic:pic>
                  <pic:nvPicPr>
                    <pic:cNvPr id="0" name="province.png"/>
                    <pic:cNvPicPr/>
                  </pic:nvPicPr>
                  <pic:blipFill>
                    <a:blip r:embed="rId19"/>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2" name="Picture 12"/>
            <wp:cNvGraphicFramePr>
              <a:graphicFrameLocks noChangeAspect="1"/>
            </wp:cNvGraphicFramePr>
            <a:graphic>
              <a:graphicData uri="http://schemas.openxmlformats.org/drawingml/2006/picture">
                <pic:pic>
                  <pic:nvPicPr>
                    <pic:cNvPr id="0" name="student-cohort.jfif"/>
                    <pic:cNvPicPr/>
                  </pic:nvPicPr>
                  <pic:blipFill>
                    <a:blip r:embed="rId20"/>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2.7.3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3" name="Picture 13"/>
            <wp:cNvGraphicFramePr>
              <a:graphicFrameLocks noChangeAspect="1"/>
            </wp:cNvGraphicFramePr>
            <a:graphic>
              <a:graphicData uri="http://schemas.openxmlformats.org/drawingml/2006/picture">
                <pic:pic>
                  <pic:nvPicPr>
                    <pic:cNvPr id="0" name="conversion.png"/>
                    <pic:cNvPicPr/>
                  </pic:nvPicPr>
                  <pic:blipFill>
                    <a:blip r:embed="rId21"/>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4" name="Picture 14"/>
            <wp:cNvGraphicFramePr>
              <a:graphicFrameLocks noChangeAspect="1"/>
            </wp:cNvGraphicFramePr>
            <a:graphic>
              <a:graphicData uri="http://schemas.openxmlformats.org/drawingml/2006/picture">
                <pic:pic>
                  <pic:nvPicPr>
                    <pic:cNvPr id="0" name="ev_01_org_check.png"/>
                    <pic:cNvPicPr/>
                  </pic:nvPicPr>
                  <pic:blipFill>
                    <a:blip r:embed="rId22"/>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5" name="Picture 15"/>
            <wp:cNvGraphicFramePr>
              <a:graphicFrameLocks noChangeAspect="1"/>
            </wp:cNvGraphicFramePr>
            <a:graphic>
              <a:graphicData uri="http://schemas.openxmlformats.org/drawingml/2006/picture">
                <pic:pic>
                  <pic:nvPicPr>
                    <pic:cNvPr id="0" name="ev_02_metadata_validate.png"/>
                    <pic:cNvPicPr/>
                  </pic:nvPicPr>
                  <pic:blipFill>
                    <a:blip r:embed="rId23"/>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The supplied Salesforce Data Types reference was applied at the system boundary: Accounts, Contacts, Leads and Opportunities are operational CRM records, while raw GA4/clickstream events, detailed history and ML training data stay in the warehouse. These four standard objects were upserted on an external ID so the load is idempotent - re-running updates rather than duplicates. Two things pushed back, and both were right to. Salesforce rejects the external ID in the request body when it is already the key in the URL. Its duplicate rules also blocked leads that fuzzy-matched existing contacts at 100% confidence - the same duplicates the warehouse's own entity resolution finds, caught independently by the CRM.</w:t>
      </w:r>
    </w:p>
    <w:p>
      <w:r>
        <w:t>Live reconciliation on 10 September 2026 found 25 Accounts, 408 Contacts, 408 Leads and 250 Opportunities: 1,091 tagged records in total, with every count matching run_results/import_log.json. The Base Edition org cannot host the proposed custom Programme, Application, Student, Enrolment or Progress objects, and it does not support the campaign load in this reduced path. Those detailed objects remain in the warehouse until a Developer Edition or another edition with the required object entitlements is selected.</w:t>
      </w:r>
    </w:p>
    <w:p>
      <w:r>
        <w:t>Keep the populations separate when reading this report. The staged CRM sample pack in data/crm_load contains 48 Campaigns, 74 CampaignMembers, 162 Applications, 84 Enrolments, 192 Programme Enquiries, 81 Students and 192 Student Progress rows; these are not live Salesforce records in the Base Edition org. The larger synthetic analytics population lives in warehouse/raw, Fabric raw_salesforce and the DuckDB gold model used by Power BI, Excel and this ebook.</w:t>
      </w:r>
    </w:p>
    <w:p>
      <w:pPr>
        <w:jc w:val="center"/>
      </w:pPr>
      <w:r>
        <w:drawing>
          <wp:inline xmlns:a="http://schemas.openxmlformats.org/drawingml/2006/main" xmlns:pic="http://schemas.openxmlformats.org/drawingml/2006/picture">
            <wp:extent cx="5577840" cy="2368838"/>
            <wp:docPr id="16" name="Picture 16"/>
            <wp:cNvGraphicFramePr>
              <a:graphicFrameLocks noChangeAspect="1"/>
            </wp:cNvGraphicFramePr>
            <a:graphic>
              <a:graphicData uri="http://schemas.openxmlformats.org/drawingml/2006/picture">
                <pic:pic>
                  <pic:nvPicPr>
                    <pic:cNvPr id="0" name="ev_03_import_result.png"/>
                    <pic:cNvPicPr/>
                  </pic:nvPicPr>
                  <pic:blipFill>
                    <a:blip r:embed="rId24"/>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7" name="Picture 17"/>
            <wp:cNvGraphicFramePr>
              <a:graphicFrameLocks noChangeAspect="1"/>
            </wp:cNvGraphicFramePr>
            <a:graphic>
              <a:graphicData uri="http://schemas.openxmlformats.org/drawingml/2006/picture">
                <pic:pic>
                  <pic:nvPicPr>
                    <pic:cNvPr id="0" name="ev_04_org_counts.png"/>
                    <pic:cNvPicPr/>
                  </pic:nvPicPr>
                  <pic:blipFill>
                    <a:blip r:embed="rId25"/>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Salesforce record evidence</w:t>
      </w:r>
    </w:p>
    <w:p>
      <w:r>
        <w:t>The following panels show the exact non-deleted record counts queried from the authenticated Salesforce extract. Browser tabs and the Windows taskbar are intentionally removed so the evidence is readable in the ebook. Each panel shows representative rows and the verified total; it is evidence of the live standard-object slice, not the staged custom-object sample pack.</w:t>
      </w:r>
    </w:p>
    <w:p>
      <w:pPr>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8_Salesforce_accounts_verified.png"/>
                    <pic:cNvPicPr/>
                  </pic:nvPicPr>
                  <pic:blipFill>
                    <a:blip r:embed="rId26"/>
                    <a:stretch>
                      <a:fillRect/>
                    </a:stretch>
                  </pic:blipFill>
                  <pic:spPr>
                    <a:xfrm>
                      <a:off x="0" y="0"/>
                      <a:ext cx="5577840" cy="3137535"/>
                    </a:xfrm>
                    <a:prstGeom prst="rect"/>
                  </pic:spPr>
                </pic:pic>
              </a:graphicData>
            </a:graphic>
          </wp:inline>
        </w:drawing>
      </w:r>
    </w:p>
    <w:p>
      <w:pPr>
        <w:jc w:val="center"/>
      </w:pPr>
      <w:r>
        <w:rPr>
          <w:i/>
          <w:color w:val="60646B"/>
          <w:sz w:val="17"/>
        </w:rPr>
        <w:t>Figure 9 - Salesforce Accounts evidence: 25 verified records.</w:t>
      </w:r>
    </w:p>
    <w:p>
      <w:pPr>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9_Salesforce_contacts_verified.png"/>
                    <pic:cNvPicPr/>
                  </pic:nvPicPr>
                  <pic:blipFill>
                    <a:blip r:embed="rId27"/>
                    <a:stretch>
                      <a:fillRect/>
                    </a:stretch>
                  </pic:blipFill>
                  <pic:spPr>
                    <a:xfrm>
                      <a:off x="0" y="0"/>
                      <a:ext cx="5577840" cy="3137535"/>
                    </a:xfrm>
                    <a:prstGeom prst="rect"/>
                  </pic:spPr>
                </pic:pic>
              </a:graphicData>
            </a:graphic>
          </wp:inline>
        </w:drawing>
      </w:r>
    </w:p>
    <w:p>
      <w:pPr>
        <w:jc w:val="center"/>
      </w:pPr>
      <w:r>
        <w:rPr>
          <w:i/>
          <w:color w:val="60646B"/>
          <w:sz w:val="17"/>
        </w:rPr>
        <w:t>Figure 10 - Salesforce Contacts evidence: 408 verified records.</w:t>
      </w:r>
    </w:p>
    <w:p>
      <w:pPr>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Salesforce_leads_verified.png"/>
                    <pic:cNvPicPr/>
                  </pic:nvPicPr>
                  <pic:blipFill>
                    <a:blip r:embed="rId28"/>
                    <a:stretch>
                      <a:fillRect/>
                    </a:stretch>
                  </pic:blipFill>
                  <pic:spPr>
                    <a:xfrm>
                      <a:off x="0" y="0"/>
                      <a:ext cx="5577840" cy="3137535"/>
                    </a:xfrm>
                    <a:prstGeom prst="rect"/>
                  </pic:spPr>
                </pic:pic>
              </a:graphicData>
            </a:graphic>
          </wp:inline>
        </w:drawing>
      </w:r>
    </w:p>
    <w:p>
      <w:pPr>
        <w:jc w:val="center"/>
      </w:pPr>
      <w:r>
        <w:rPr>
          <w:i/>
          <w:color w:val="60646B"/>
          <w:sz w:val="17"/>
        </w:rPr>
        <w:t>Figure 11 - Salesforce Leads evidence: 408 verified records.</w:t>
      </w:r>
    </w:p>
    <w:p>
      <w:pPr>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11_Salesforce_opportunities_verified.png"/>
                    <pic:cNvPicPr/>
                  </pic:nvPicPr>
                  <pic:blipFill>
                    <a:blip r:embed="rId29"/>
                    <a:stretch>
                      <a:fillRect/>
                    </a:stretch>
                  </pic:blipFill>
                  <pic:spPr>
                    <a:xfrm>
                      <a:off x="0" y="0"/>
                      <a:ext cx="5577840" cy="3137535"/>
                    </a:xfrm>
                    <a:prstGeom prst="rect"/>
                  </pic:spPr>
                </pic:pic>
              </a:graphicData>
            </a:graphic>
          </wp:inline>
        </w:drawing>
      </w:r>
    </w:p>
    <w:p>
      <w:pPr>
        <w:jc w:val="center"/>
      </w:pPr>
      <w:r>
        <w:rPr>
          <w:i/>
          <w:color w:val="60646B"/>
          <w:sz w:val="17"/>
        </w:rPr>
        <w:t>Figure 12 - Salesforce Opportunities evidence: 250 verified records.</w:t>
      </w:r>
    </w:p>
    <w:p>
      <w:pPr>
        <w:pStyle w:val="Heading2"/>
        <w:spacing w:before="240"/>
      </w:pPr>
      <w:r>
        <w:rPr>
          <w:rFonts w:ascii="Calibri" w:hAnsi="Calibri"/>
          <w:b/>
          <w:color w:val="1D1D1B"/>
          <w:sz w:val="32"/>
        </w:rPr>
        <w:t>3.5  5.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22" name="Picture 22"/>
            <wp:cNvGraphicFramePr>
              <a:graphicFrameLocks noChangeAspect="1"/>
            </wp:cNvGraphicFramePr>
            <a:graphic>
              <a:graphicData uri="http://schemas.openxmlformats.org/drawingml/2006/picture">
                <pic:pic>
                  <pic:nvPicPr>
                    <pic:cNvPr id="0" name="ev_05_extraction.png"/>
                    <pic:cNvPicPr/>
                  </pic:nvPicPr>
                  <pic:blipFill>
                    <a:blip r:embed="rId30"/>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3.6  6.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23" name="Picture 23"/>
            <wp:cNvGraphicFramePr>
              <a:graphicFrameLocks noChangeAspect="1"/>
            </wp:cNvGraphicFramePr>
            <a:graphic>
              <a:graphicData uri="http://schemas.openxmlformats.org/drawingml/2006/picture">
                <pic:pic>
                  <pic:nvPicPr>
                    <pic:cNvPr id="0" name="ev_06_dbt_tests.png"/>
                    <pic:cNvPicPr/>
                  </pic:nvPicPr>
                  <pic:blipFill>
                    <a:blip r:embed="rId31"/>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24" name="Picture 24"/>
            <wp:cNvGraphicFramePr>
              <a:graphicFrameLocks noChangeAspect="1"/>
            </wp:cNvGraphicFramePr>
            <a:graphic>
              <a:graphicData uri="http://schemas.openxmlformats.org/drawingml/2006/picture">
                <pic:pic>
                  <pic:nvPicPr>
                    <pic:cNvPr id="0" name="ml_bands.png"/>
                    <pic:cNvPicPr/>
                  </pic:nvPicPr>
                  <pic:blipFill>
                    <a:blip r:embed="rId32"/>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5" name="Picture 25"/>
            <wp:cNvGraphicFramePr>
              <a:graphicFrameLocks noChangeAspect="1"/>
            </wp:cNvGraphicFramePr>
            <a:graphic>
              <a:graphicData uri="http://schemas.openxmlformats.org/drawingml/2006/picture">
                <pic:pic>
                  <pic:nvPicPr>
                    <pic:cNvPr id="0" name="ml_importance.png"/>
                    <pic:cNvPicPr/>
                  </pic:nvPicPr>
                  <pic:blipFill>
                    <a:blip r:embed="rId33"/>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6" name="Picture 26"/>
            <wp:cNvGraphicFramePr>
              <a:graphicFrameLocks noChangeAspect="1"/>
            </wp:cNvGraphicFramePr>
            <a:graphic>
              <a:graphicData uri="http://schemas.openxmlformats.org/drawingml/2006/picture">
                <pic:pic>
                  <pic:nvPicPr>
                    <pic:cNvPr id="0" name="ev_09_medallion.png"/>
                    <pic:cNvPicPr/>
                  </pic:nvPicPr>
                  <pic:blipFill>
                    <a:blip r:embed="rId34"/>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7" name="Picture 27"/>
            <wp:cNvGraphicFramePr>
              <a:graphicFrameLocks noChangeAspect="1"/>
            </wp:cNvGraphicFramePr>
            <a:graphic>
              <a:graphicData uri="http://schemas.openxmlformats.org/drawingml/2006/picture">
                <pic:pic>
                  <pic:nvPicPr>
                    <pic:cNvPr id="0" name="03_Canonical_ERD.png"/>
                    <pic:cNvPicPr/>
                  </pic:nvPicPr>
                  <pic:blipFill>
                    <a:blip r:embed="rId35"/>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8" name="Picture 28"/>
            <wp:cNvGraphicFramePr>
              <a:graphicFrameLocks noChangeAspect="1"/>
            </wp:cNvGraphicFramePr>
            <a:graphic>
              <a:graphicData uri="http://schemas.openxmlformats.org/drawingml/2006/picture">
                <pic:pic>
                  <pic:nvPicPr>
                    <pic:cNvPr id="0" name="ev_10_data_model.png"/>
                    <pic:cNvPicPr/>
                  </pic:nvPicPr>
                  <pic:blipFill>
                    <a:blip r:embed="rId36"/>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9" name="Picture 29"/>
            <wp:cNvGraphicFramePr>
              <a:graphicFrameLocks noChangeAspect="1"/>
            </wp:cNvGraphicFramePr>
            <a:graphic>
              <a:graphicData uri="http://schemas.openxmlformats.org/drawingml/2006/picture">
                <pic:pic>
                  <pic:nvPicPr>
                    <pic:cNvPr id="0" name="ev_07_nifi_flow.png"/>
                    <pic:cNvPicPr/>
                  </pic:nvPicPr>
                  <pic:blipFill>
                    <a:blip r:embed="rId37"/>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jc w:val="center"/>
      </w:pPr>
      <w:r>
        <w:drawing>
          <wp:inline xmlns:a="http://schemas.openxmlformats.org/drawingml/2006/main" xmlns:pic="http://schemas.openxmlformats.org/drawingml/2006/picture">
            <wp:extent cx="5577840" cy="2654170"/>
            <wp:docPr id="30" name="Picture 30"/>
            <wp:cNvGraphicFramePr>
              <a:graphicFrameLocks noChangeAspect="1"/>
            </wp:cNvGraphicFramePr>
            <a:graphic>
              <a:graphicData uri="http://schemas.openxmlformats.org/drawingml/2006/picture">
                <pic:pic>
                  <pic:nvPicPr>
                    <pic:cNvPr id="0" name="12_NiFi_salesforce_to_fabric_clean.png"/>
                    <pic:cNvPicPr/>
                  </pic:nvPicPr>
                  <pic:blipFill>
                    <a:blip r:embed="rId38"/>
                    <a:stretch>
                      <a:fillRect/>
                    </a:stretch>
                  </pic:blipFill>
                  <pic:spPr>
                    <a:xfrm>
                      <a:off x="0" y="0"/>
                      <a:ext cx="5577840" cy="2654170"/>
                    </a:xfrm>
                    <a:prstGeom prst="rect"/>
                  </pic:spPr>
                </pic:pic>
              </a:graphicData>
            </a:graphic>
          </wp:inline>
        </w:drawing>
      </w:r>
    </w:p>
    <w:p>
      <w:pPr>
        <w:jc w:val="center"/>
      </w:pPr>
      <w:r>
        <w:rPr>
          <w:i/>
          <w:color w:val="60646B"/>
          <w:sz w:val="17"/>
        </w:rPr>
        <w:t>Figure 11a - Clean NiFi capture of the Salesforce-to-Fabric process group; browser tabs and the Windows taskbar are removed.</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31" name="Picture 31"/>
            <wp:cNvGraphicFramePr>
              <a:graphicFrameLocks noChangeAspect="1"/>
            </wp:cNvGraphicFramePr>
            <a:graphic>
              <a:graphicData uri="http://schemas.openxmlformats.org/drawingml/2006/picture">
                <pic:pic>
                  <pic:nvPicPr>
                    <pic:cNvPr id="0" name="ev_08_fabric.png"/>
                    <pic:cNvPicPr/>
                  </pic:nvPicPr>
                  <pic:blipFill>
                    <a:blip r:embed="rId39"/>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32" name="Picture 32"/>
            <wp:cNvGraphicFramePr>
              <a:graphicFrameLocks noChangeAspect="1"/>
            </wp:cNvGraphicFramePr>
            <a:graphic>
              <a:graphicData uri="http://schemas.openxmlformats.org/drawingml/2006/picture">
                <pic:pic>
                  <pic:nvPicPr>
                    <pic:cNvPr id="0" name="ga4_to_fabric.png"/>
                    <pic:cNvPicPr/>
                  </pic:nvPicPr>
                  <pic:blipFill>
                    <a:blip r:embed="rId40"/>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Two cloud platforms, one client decision</w:t>
      </w:r>
    </w:p>
    <w:p>
      <w:r>
        <w:t>The project is intentionally portable so the client can choose between a Google Cloud-first and a Microsoft Fabric-first operating model. The business definitions, Salesforce boundary, source keys, quality rules, course-risk logic and Power BI semantic model stay the same; the landing and transformation services change.</w:t>
      </w:r>
    </w:p>
    <w:p>
      <w:r>
        <w:t>Google Cloud is the stronger candidate when native GA4 raw-event export, BigQuery and a Google-first data team are the priority. BigQuery can hold raw events and Dataform can version, test and schedule the SQL models. Microsoft Fabric is the stronger candidate when Power BI, Microsoft identity and OneLake governance are already standard. The GA4 Data API can feed NiFi and OneLake without BigQuery; native raw-event export still requires BigQuery, followed by a Fabric connector.</w:t>
      </w:r>
    </w:p>
    <w:p>
      <w:r>
        <w:t>The client should choose after two short pilots using the same acceptance pack: Salesforce reconciliation, GA4 row-count and date checks, transformation tests, Power BI refresh, course-risk outputs, cost guardrails and a replayed failure. The current repository proves the Salesforce, OneLake bronze, DuckDB/dbt, Power BI, ML and SEO components; neither cloud target is claimed as a completed production deployment.</w:t>
      </w:r>
    </w:p>
    <w:p>
      <w:pPr>
        <w:jc w:val="center"/>
      </w:pPr>
      <w:r>
        <w:drawing>
          <wp:inline xmlns:a="http://schemas.openxmlformats.org/drawingml/2006/main" xmlns:pic="http://schemas.openxmlformats.org/drawingml/2006/picture">
            <wp:extent cx="5577840" cy="3126971"/>
            <wp:docPr id="33" name="Picture 33"/>
            <wp:cNvGraphicFramePr>
              <a:graphicFrameLocks noChangeAspect="1"/>
            </wp:cNvGraphicFramePr>
            <a:graphic>
              <a:graphicData uri="http://schemas.openxmlformats.org/drawingml/2006/picture">
                <pic:pic>
                  <pic:nvPicPr>
                    <pic:cNvPr id="0" name="platform_options.png"/>
                    <pic:cNvPicPr/>
                  </pic:nvPicPr>
                  <pic:blipFill>
                    <a:blip r:embed="rId41"/>
                    <a:stretch>
                      <a:fillRect/>
                    </a:stretch>
                  </pic:blipFill>
                  <pic:spPr>
                    <a:xfrm>
                      <a:off x="0" y="0"/>
                      <a:ext cx="5577840" cy="3126971"/>
                    </a:xfrm>
                    <a:prstGeom prst="rect"/>
                  </pic:spPr>
                </pic:pic>
              </a:graphicData>
            </a:graphic>
          </wp:inline>
        </w:drawing>
      </w:r>
    </w:p>
    <w:p>
      <w:pPr>
        <w:jc w:val="center"/>
      </w:pPr>
      <w:r>
        <w:rPr>
          <w:i/>
          <w:color w:val="60646B"/>
          <w:sz w:val="17"/>
        </w:rPr>
        <w:t>Figure 14 - Equivalent Google Cloud and Microsoft Fabric options. The client selects the target after comparing the same acceptance pack.</w:t>
      </w:r>
    </w:p>
    <w:p>
      <w:r>
        <w:t>The full decision matrix, trade-offs and pilot acceptance criteria are in docs/PLATFORM_OPTIONS.md.</w:t>
      </w:r>
    </w:p>
    <w:p>
      <w:pPr>
        <w:pStyle w:val="Heading2"/>
        <w:spacing w:before="240"/>
      </w:pPr>
      <w:r>
        <w:rPr>
          <w:rFonts w:ascii="Calibri" w:hAnsi="Calibri"/>
          <w:b/>
          <w:color w:val="1D1D1B"/>
          <w:sz w:val="32"/>
        </w:rPr>
        <w:t>7.5  Website SEO audit findings</w:t>
      </w:r>
    </w:p>
    <w:p>
      <w:r>
        <w:t>A read-only crawl of every URL in the public XML sitemap was completed on 10 September 2026. It covered 561 sitemap URLs, 435 live HTTP 200 pages, titles, meta descriptions, canonical links, headings, social tags, JSON-LD, image alt text and mobile viewport markup. The full page-level results are in docs/SEO_AUDIT_2026-09-10.md with one machine-readable record per URL.</w:t>
      </w:r>
    </w:p>
    <w:p>
      <w:r>
        <w:t>The highest-priority findings are 126 sitemap URLs returning a non-200 response, 5 pages without a title, 169 pages without a meta description, 435 live pages without a canonical link, 425 pages with more than one H1, 435 pages missing core Open Graph and Twitter card tags, 435 pages without JSON-LD structured data and 310 images with missing or empty alt text.</w:t>
      </w:r>
    </w:p>
    <w:p>
      <w:r>
        <w:t>Recommended sequence: repair sitemap and redirect hygiene; define one metadata contract for programme, catalogue, blog and corporate templates; add self-canonicals, social tags, BreadcrumbList and appropriate course schema; enforce one H1; improve programme and application internal links; then rerun the crawl and reconcile coverage before release.</w:t>
      </w:r>
    </w:p>
    <w:p>
      <w:pPr>
        <w:pStyle w:val="Heading2"/>
        <w:spacing w:before="240"/>
      </w:pPr>
      <w:r>
        <w:rPr>
          <w:rFonts w:ascii="Calibri" w:hAnsi="Calibri"/>
          <w:b/>
          <w:color w:val="1D1D1B"/>
          <w:sz w:val="32"/>
        </w:rPr>
        <w:t>7.6  Business analysis and systems analysis improvements</w:t>
      </w:r>
    </w:p>
    <w:p>
      <w:r>
        <w:t>The website audit is also a requirements and architecture signal. The problems repeat by page template and system boundary, so the useful response is a BA/SA backlog with owners, acceptance evidence and release controls rather than a list of isolated edits. The detailed register is in docs/BA_SA_IMPROVEMENTS.md.</w:t>
      </w:r>
    </w:p>
    <w:p>
      <w:r>
        <w:t>Business analysis priorities: agree one catalogue and KPI dictionary across on-campus and online delivery; label every count by source system and as-of date; define funnel denominators and attribution rules; and turn the marketing, admissions, student-success and data-quality signals into user stories with an owner, SLA and outcome measure.</w:t>
      </w:r>
    </w:p>
    <w:p>
      <w:r>
        <w:t>Systems analysis priorities: choose the GA4 Data API route when curated metrics are sufficient, or the native BigQuery route when raw events are needed; keep website identifiers separate from CRM external IDs; add watermarks, run IDs, reject counts, retries and replay paths to NiFi and Fabric; and enforce website metadata, structured-data, heading and image controls at the template level.</w:t>
      </w:r>
    </w:p>
    <w:p>
      <w:r>
        <w:t>The first release gate is explicit: non-200 sitemap entries are repaired or approved as redirects, catalogue and KPI definitions reconcile across Power BI and the warehouse, no slicer is blank-only, and every ML action has human review and a recorded outcome. These are improvements identified from the analysed website and platform evidence; no production website change is claimed here.</w:t>
      </w:r>
    </w:p>
    <w:p>
      <w:pPr>
        <w:pStyle w:val="Heading2"/>
        <w:spacing w:before="240"/>
      </w:pPr>
      <w:r>
        <w:rPr>
          <w:rFonts w:ascii="Calibri" w:hAnsi="Calibri"/>
          <w:b/>
          <w:color w:val="1D1D1B"/>
          <w:sz w:val="32"/>
        </w:rPr>
        <w:t>7.7  Screens from the org</w:t>
      </w:r>
    </w:p>
    <w:p>
      <w:pPr>
        <w:jc w:val="center"/>
      </w:pPr>
      <w:r>
        <w:drawing>
          <wp:inline xmlns:a="http://schemas.openxmlformats.org/drawingml/2006/main" xmlns:pic="http://schemas.openxmlformats.org/drawingml/2006/picture">
            <wp:extent cx="5394960" cy="3260690"/>
            <wp:docPr id="34" name="Picture 34"/>
            <wp:cNvGraphicFramePr>
              <a:graphicFrameLocks noChangeAspect="1"/>
            </wp:cNvGraphicFramePr>
            <a:graphic>
              <a:graphicData uri="http://schemas.openxmlformats.org/drawingml/2006/picture">
                <pic:pic>
                  <pic:nvPicPr>
                    <pic:cNvPr id="0" name="06_PowerBI_predictive_actions.png"/>
                    <pic:cNvPicPr/>
                  </pic:nvPicPr>
                  <pic:blipFill>
                    <a:blip r:embed="rId42"/>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jc w:val="center"/>
      </w:pPr>
      <w:r>
        <w:drawing>
          <wp:inline xmlns:a="http://schemas.openxmlformats.org/drawingml/2006/main" xmlns:pic="http://schemas.openxmlformats.org/drawingml/2006/picture">
            <wp:extent cx="5394960" cy="2875206"/>
            <wp:docPr id="35" name="Picture 35"/>
            <wp:cNvGraphicFramePr>
              <a:graphicFrameLocks noChangeAspect="1"/>
            </wp:cNvGraphicFramePr>
            <a:graphic>
              <a:graphicData uri="http://schemas.openxmlformats.org/drawingml/2006/picture">
                <pic:pic>
                  <pic:nvPicPr>
                    <pic:cNvPr id="0" name="07_Salesforce_contacts_live.png"/>
                    <pic:cNvPicPr/>
                  </pic:nvPicPr>
                  <pic:blipFill>
                    <a:blip r:embed="rId43"/>
                    <a:stretch>
                      <a:fillRect/>
                    </a:stretch>
                  </pic:blipFill>
                  <pic:spPr>
                    <a:xfrm>
                      <a:off x="0" y="0"/>
                      <a:ext cx="5394960" cy="2875206"/>
                    </a:xfrm>
                    <a:prstGeom prst="rect"/>
                  </pic:spPr>
                </pic:pic>
              </a:graphicData>
            </a:graphic>
          </wp:inline>
        </w:drawing>
      </w:r>
    </w:p>
    <w:p>
      <w:pPr>
        <w:jc w:val="center"/>
      </w:pPr>
      <w:r>
        <w:rPr>
          <w:i/>
          <w:color w:val="60646B"/>
          <w:sz w:val="17"/>
        </w:rPr>
        <w:t>Salesforce contacts live</w:t>
      </w:r>
    </w:p>
    <w:p>
      <w:pPr>
        <w:jc w:val="center"/>
      </w:pPr>
      <w:r>
        <w:drawing>
          <wp:inline xmlns:a="http://schemas.openxmlformats.org/drawingml/2006/main" xmlns:pic="http://schemas.openxmlformats.org/drawingml/2006/picture">
            <wp:extent cx="5394960" cy="3034665"/>
            <wp:docPr id="36" name="Picture 36"/>
            <wp:cNvGraphicFramePr>
              <a:graphicFrameLocks noChangeAspect="1"/>
            </wp:cNvGraphicFramePr>
            <a:graphic>
              <a:graphicData uri="http://schemas.openxmlformats.org/drawingml/2006/picture">
                <pic:pic>
                  <pic:nvPicPr>
                    <pic:cNvPr id="0" name="08_Salesforce_accounts_verified.png"/>
                    <pic:cNvPicPr/>
                  </pic:nvPicPr>
                  <pic:blipFill>
                    <a:blip r:embed="rId26"/>
                    <a:stretch>
                      <a:fillRect/>
                    </a:stretch>
                  </pic:blipFill>
                  <pic:spPr>
                    <a:xfrm>
                      <a:off x="0" y="0"/>
                      <a:ext cx="5394960" cy="3034665"/>
                    </a:xfrm>
                    <a:prstGeom prst="rect"/>
                  </pic:spPr>
                </pic:pic>
              </a:graphicData>
            </a:graphic>
          </wp:inline>
        </w:drawing>
      </w:r>
    </w:p>
    <w:p>
      <w:pPr>
        <w:jc w:val="center"/>
      </w:pPr>
      <w:r>
        <w:rPr>
          <w:i/>
          <w:color w:val="60646B"/>
          <w:sz w:val="17"/>
        </w:rPr>
        <w:t>Salesforce accounts verified</w:t>
      </w:r>
    </w:p>
    <w:p>
      <w:pPr>
        <w:jc w:val="center"/>
      </w:pPr>
      <w:r>
        <w:drawing>
          <wp:inline xmlns:a="http://schemas.openxmlformats.org/drawingml/2006/main" xmlns:pic="http://schemas.openxmlformats.org/drawingml/2006/picture">
            <wp:extent cx="5394960" cy="3034665"/>
            <wp:docPr id="37" name="Picture 37"/>
            <wp:cNvGraphicFramePr>
              <a:graphicFrameLocks noChangeAspect="1"/>
            </wp:cNvGraphicFramePr>
            <a:graphic>
              <a:graphicData uri="http://schemas.openxmlformats.org/drawingml/2006/picture">
                <pic:pic>
                  <pic:nvPicPr>
                    <pic:cNvPr id="0" name="09_Salesforce_contacts_verified.png"/>
                    <pic:cNvPicPr/>
                  </pic:nvPicPr>
                  <pic:blipFill>
                    <a:blip r:embed="rId27"/>
                    <a:stretch>
                      <a:fillRect/>
                    </a:stretch>
                  </pic:blipFill>
                  <pic:spPr>
                    <a:xfrm>
                      <a:off x="0" y="0"/>
                      <a:ext cx="5394960" cy="3034665"/>
                    </a:xfrm>
                    <a:prstGeom prst="rect"/>
                  </pic:spPr>
                </pic:pic>
              </a:graphicData>
            </a:graphic>
          </wp:inline>
        </w:drawing>
      </w:r>
    </w:p>
    <w:p>
      <w:pPr>
        <w:jc w:val="center"/>
      </w:pPr>
      <w:r>
        <w:rPr>
          <w:i/>
          <w:color w:val="60646B"/>
          <w:sz w:val="17"/>
        </w:rPr>
        <w:t>Salesforce contacts verified</w:t>
      </w:r>
    </w:p>
    <w:p>
      <w:pPr>
        <w:jc w:val="center"/>
      </w:pPr>
      <w:r>
        <w:drawing>
          <wp:inline xmlns:a="http://schemas.openxmlformats.org/drawingml/2006/main" xmlns:pic="http://schemas.openxmlformats.org/drawingml/2006/picture">
            <wp:extent cx="5394960" cy="3034665"/>
            <wp:docPr id="38" name="Picture 38"/>
            <wp:cNvGraphicFramePr>
              <a:graphicFrameLocks noChangeAspect="1"/>
            </wp:cNvGraphicFramePr>
            <a:graphic>
              <a:graphicData uri="http://schemas.openxmlformats.org/drawingml/2006/picture">
                <pic:pic>
                  <pic:nvPicPr>
                    <pic:cNvPr id="0" name="10_Salesforce_leads_verified.png"/>
                    <pic:cNvPicPr/>
                  </pic:nvPicPr>
                  <pic:blipFill>
                    <a:blip r:embed="rId28"/>
                    <a:stretch>
                      <a:fillRect/>
                    </a:stretch>
                  </pic:blipFill>
                  <pic:spPr>
                    <a:xfrm>
                      <a:off x="0" y="0"/>
                      <a:ext cx="5394960" cy="3034665"/>
                    </a:xfrm>
                    <a:prstGeom prst="rect"/>
                  </pic:spPr>
                </pic:pic>
              </a:graphicData>
            </a:graphic>
          </wp:inline>
        </w:drawing>
      </w:r>
    </w:p>
    <w:p>
      <w:pPr>
        <w:jc w:val="center"/>
      </w:pPr>
      <w:r>
        <w:rPr>
          <w:i/>
          <w:color w:val="60646B"/>
          <w:sz w:val="17"/>
        </w:rPr>
        <w:t>Salesforce leads verified</w:t>
      </w:r>
    </w:p>
    <w:p>
      <w:pPr>
        <w:jc w:val="center"/>
      </w:pPr>
      <w:r>
        <w:drawing>
          <wp:inline xmlns:a="http://schemas.openxmlformats.org/drawingml/2006/main" xmlns:pic="http://schemas.openxmlformats.org/drawingml/2006/picture">
            <wp:extent cx="5394960" cy="3034665"/>
            <wp:docPr id="39" name="Picture 39"/>
            <wp:cNvGraphicFramePr>
              <a:graphicFrameLocks noChangeAspect="1"/>
            </wp:cNvGraphicFramePr>
            <a:graphic>
              <a:graphicData uri="http://schemas.openxmlformats.org/drawingml/2006/picture">
                <pic:pic>
                  <pic:nvPicPr>
                    <pic:cNvPr id="0" name="11_Salesforce_opportunities_verified.png"/>
                    <pic:cNvPicPr/>
                  </pic:nvPicPr>
                  <pic:blipFill>
                    <a:blip r:embed="rId29"/>
                    <a:stretch>
                      <a:fillRect/>
                    </a:stretch>
                  </pic:blipFill>
                  <pic:spPr>
                    <a:xfrm>
                      <a:off x="0" y="0"/>
                      <a:ext cx="5394960" cy="3034665"/>
                    </a:xfrm>
                    <a:prstGeom prst="rect"/>
                  </pic:spPr>
                </pic:pic>
              </a:graphicData>
            </a:graphic>
          </wp:inline>
        </w:drawing>
      </w:r>
    </w:p>
    <w:p>
      <w:pPr>
        <w:jc w:val="center"/>
      </w:pPr>
      <w:r>
        <w:rPr>
          <w:i/>
          <w:color w:val="60646B"/>
          <w:sz w:val="17"/>
        </w:rPr>
        <w:t>Salesforce opportunities verified</w:t>
      </w:r>
    </w:p>
    <w:p>
      <w:pPr>
        <w:jc w:val="center"/>
      </w:pPr>
      <w:r>
        <w:drawing>
          <wp:inline xmlns:a="http://schemas.openxmlformats.org/drawingml/2006/main" xmlns:pic="http://schemas.openxmlformats.org/drawingml/2006/picture">
            <wp:extent cx="5394960" cy="2567148"/>
            <wp:docPr id="40" name="Picture 40"/>
            <wp:cNvGraphicFramePr>
              <a:graphicFrameLocks noChangeAspect="1"/>
            </wp:cNvGraphicFramePr>
            <a:graphic>
              <a:graphicData uri="http://schemas.openxmlformats.org/drawingml/2006/picture">
                <pic:pic>
                  <pic:nvPicPr>
                    <pic:cNvPr id="0" name="12_NiFi_salesforce_to_fabric_clean.png"/>
                    <pic:cNvPicPr/>
                  </pic:nvPicPr>
                  <pic:blipFill>
                    <a:blip r:embed="rId38"/>
                    <a:stretch>
                      <a:fillRect/>
                    </a:stretch>
                  </pic:blipFill>
                  <pic:spPr>
                    <a:xfrm>
                      <a:off x="0" y="0"/>
                      <a:ext cx="5394960" cy="2567148"/>
                    </a:xfrm>
                    <a:prstGeom prst="rect"/>
                  </pic:spPr>
                </pic:pic>
              </a:graphicData>
            </a:graphic>
          </wp:inline>
        </w:drawing>
      </w:r>
    </w:p>
    <w:p>
      <w:pPr>
        <w:jc w:val="center"/>
      </w:pPr>
      <w:r>
        <w:rPr>
          <w:i/>
          <w:color w:val="60646B"/>
          <w:sz w:val="17"/>
        </w:rPr>
        <w:t>NiFi salesforce to fabric clean</w:t>
      </w:r>
    </w:p>
    <w:p>
      <w:pPr>
        <w:pStyle w:val="Heading2"/>
        <w:spacing w:before="320"/>
      </w:pPr>
      <w:r>
        <w:rPr>
          <w:rFonts w:ascii="Calibri" w:hAnsi="Calibri"/>
          <w:b/>
          <w:color w:val="1D1D1B"/>
          <w:sz w:val="34"/>
        </w:rPr>
        <w:t>7.8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fif"/><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