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1.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red-yellow-logo.png"/>
                    <pic:cNvPicPr/>
                  </pic:nvPicPr>
                  <pic:blipFill>
                    <a:blip r:embed="rId9"/>
                    <a:stretch>
                      <a:fillRect/>
                    </a:stretch>
                  </pic:blipFill>
                  <pic:spPr>
                    <a:xfrm>
                      <a:off x="0" y="0"/>
                      <a:ext cx="1234440" cy="1234440"/>
                    </a:xfrm>
                    <a:prstGeom prst="rect"/>
                  </pic:spPr>
                </pic:pic>
              </a:graphicData>
            </a:graphic>
          </wp:inline>
        </w:drawing>
      </w:r>
    </w:p>
    <w:p>
      <w:pPr>
        <w:spacing w:before="36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Pr>
        <w:pStyle w:val="Heading2"/>
        <w:spacing w:before="240"/>
      </w:pPr>
      <w:r>
        <w:rPr>
          <w:rFonts w:ascii="Calibri" w:hAnsi="Calibri"/>
          <w:b/>
          <w:color w:val="1D1D1B"/>
          <w:sz w:val="32"/>
        </w:rPr>
        <w:t>1.2  What, why and how</w:t>
      </w:r>
    </w:p>
    <w:p>
      <w:r>
        <w:t>Every section follows the same reading rule. What names the data or decision being shown. Why explains the business question it answers. How tells the reader which filter, comparison or action to use next. The captions and dashboard subtitles use the same language so the document and report remain self-explanatory when they are read separately.</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2221682"/>
            <wp:docPr id="2" name="Picture 2"/>
            <wp:cNvGraphicFramePr>
              <a:graphicFrameLocks noChangeAspect="1"/>
            </wp:cNvGraphicFramePr>
            <a:graphic>
              <a:graphicData uri="http://schemas.openxmlformats.org/drawingml/2006/picture">
                <pic:pic>
                  <pic:nvPicPr>
                    <pic:cNvPr id="0" name="creative-magic-commercial-logic.png"/>
                    <pic:cNvPicPr/>
                  </pic:nvPicPr>
                  <pic:blipFill>
                    <a:blip r:embed="rId10"/>
                    <a:stretch>
                      <a:fillRect/>
                    </a:stretch>
                  </pic:blipFill>
                  <pic:spPr>
                    <a:xfrm>
                      <a:off x="0" y="0"/>
                      <a:ext cx="5577840" cy="2221682"/>
                    </a:xfrm>
                    <a:prstGeom prst="rect"/>
                  </pic:spPr>
                </pic:pic>
              </a:graphicData>
            </a:graphic>
          </wp:inline>
        </w:drawing>
      </w:r>
    </w:p>
    <w:p>
      <w:pPr>
        <w:jc w:val="center"/>
      </w:pPr>
      <w:r>
        <w:rPr>
          <w:i/>
          <w:color w:val="60646B"/>
          <w:sz w:val="17"/>
        </w:rPr>
        <w:t>Red &amp; Yellow's Creative Magic and Commercial Logic — the brand idea that frames this data story.</w:t>
      </w:r>
    </w:p>
    <w:p>
      <w:pPr>
        <w:jc w:val="center"/>
      </w:pPr>
      <w:r>
        <w:drawing>
          <wp:inline xmlns:a="http://schemas.openxmlformats.org/drawingml/2006/main" xmlns:pic="http://schemas.openxmlformats.org/drawingml/2006/picture">
            <wp:extent cx="5577840" cy="1780162"/>
            <wp:docPr id="3" name="Picture 3"/>
            <wp:cNvGraphicFramePr>
              <a:graphicFrameLocks noChangeAspect="1"/>
            </wp:cNvGraphicFramePr>
            <a:graphic>
              <a:graphicData uri="http://schemas.openxmlformats.org/drawingml/2006/picture">
                <pic:pic>
                  <pic:nvPicPr>
                    <pic:cNvPr id="0" name="ev_00_architecture.png"/>
                    <pic:cNvPicPr/>
                  </pic:nvPicPr>
                  <pic:blipFill>
                    <a:blip r:embed="rId11"/>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304,168</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R2,867.2m</w:t>
            </w:r>
          </w:p>
        </w:tc>
      </w:tr>
      <w:tr>
        <w:tc>
          <w:tcPr>
            <w:tcW w:type="dxa" w:w="4320"/>
          </w:tcPr>
          <w:p>
            <w:r>
              <w:t>Data quality issues detected</w:t>
            </w:r>
          </w:p>
        </w:tc>
        <w:tc>
          <w:tcPr>
            <w:tcW w:type="dxa" w:w="4320"/>
          </w:tcPr>
          <w:p>
            <w:r>
              <w:t>331,391</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funnel.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R1,891 and R2,899 across channels, on a return of 3.2x to 5.0x. Career expo returns the most per rand at 5.00x; Print the least at 3.23x.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5" name="Picture 5"/>
            <wp:cNvGraphicFramePr>
              <a:graphicFrameLocks noChangeAspect="1"/>
            </wp:cNvGraphicFramePr>
            <a:graphic>
              <a:graphicData uri="http://schemas.openxmlformats.org/drawingml/2006/picture">
                <pic:pic>
                  <pic:nvPicPr>
                    <pic:cNvPr id="0" name="cpe.png"/>
                    <pic:cNvPicPr/>
                  </pic:nvPicPr>
                  <pic:blipFill>
                    <a:blip r:embed="rId13"/>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240"/>
      </w:pPr>
      <w:r>
        <w:rPr>
          <w:rFonts w:ascii="Calibri" w:hAnsi="Calibri"/>
          <w:b/>
          <w:color w:val="1D1D1B"/>
          <w:sz w:val="32"/>
        </w:rPr>
        <w:t>2.3  Marketing analytics, from audience to value</w:t>
      </w:r>
    </w:p>
    <w:p>
      <w:r>
        <w:t>The marketing page separates reach, response, enrolment and value. Response rate tells the team whether a channel is reaching an interested audience; cost per enrolment tells it what that audience costs to convert; return on ad spend tests whether the resulting fees justify the investment. Revenue per member and spend per response make the same comparison usable before a campaign has accumulated enough enrolments for a stable cost-per-enrolment figure.</w:t>
      </w:r>
    </w:p>
    <w:p>
      <w:pPr>
        <w:jc w:val="center"/>
      </w:pPr>
      <w:r>
        <w:drawing>
          <wp:inline xmlns:a="http://schemas.openxmlformats.org/drawingml/2006/main" xmlns:pic="http://schemas.openxmlformats.org/drawingml/2006/picture">
            <wp:extent cx="5577840" cy="2440305"/>
            <wp:docPr id="6" name="Picture 6"/>
            <wp:cNvGraphicFramePr>
              <a:graphicFrameLocks noChangeAspect="1"/>
            </wp:cNvGraphicFramePr>
            <a:graphic>
              <a:graphicData uri="http://schemas.openxmlformats.org/drawingml/2006/picture">
                <pic:pic>
                  <pic:nvPicPr>
                    <pic:cNvPr id="0" name="marketing_efficiency.png"/>
                    <pic:cNvPicPr/>
                  </pic:nvPicPr>
                  <pic:blipFill>
                    <a:blip r:embed="rId14"/>
                    <a:stretch>
                      <a:fillRect/>
                    </a:stretch>
                  </pic:blipFill>
                  <pic:spPr>
                    <a:xfrm>
                      <a:off x="0" y="0"/>
                      <a:ext cx="5577840" cy="2440305"/>
                    </a:xfrm>
                    <a:prstGeom prst="rect"/>
                  </pic:spPr>
                </pic:pic>
              </a:graphicData>
            </a:graphic>
          </wp:inline>
        </w:drawing>
      </w:r>
    </w:p>
    <w:p>
      <w:pPr>
        <w:jc w:val="center"/>
      </w:pPr>
      <w:r>
        <w:rPr>
          <w:i/>
          <w:color w:val="60646B"/>
          <w:sz w:val="17"/>
        </w:rPr>
        <w:t>Figure 2a - Campaign response rate and return on ad spend by channel. Both are calculated at campaign grain before they are aggregated.</w:t>
      </w:r>
    </w:p>
    <w:p>
      <w:pPr>
        <w:pStyle w:val="Heading2"/>
        <w:spacing w:before="320"/>
      </w:pPr>
      <w:r>
        <w:rPr>
          <w:rFonts w:ascii="Calibri" w:hAnsi="Calibri"/>
          <w:b/>
          <w:color w:val="1D1D1B"/>
          <w:sz w:val="34"/>
        </w:rPr>
        <w:t>2.4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7" name="Picture 7"/>
            <wp:cNvGraphicFramePr>
              <a:graphicFrameLocks noChangeAspect="1"/>
            </wp:cNvGraphicFramePr>
            <a:graphic>
              <a:graphicData uri="http://schemas.openxmlformats.org/drawingml/2006/picture">
                <pic:pic>
                  <pic:nvPicPr>
                    <pic:cNvPr id="0" name="risk.png"/>
                    <pic:cNvPicPr/>
                  </pic:nvPicPr>
                  <pic:blipFill>
                    <a:blip r:embed="rId15"/>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2.5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2,941,487 injected defects the pipeline detects 331,391 issues. De-duplication recovers 0.97 of the duplicates that were planted.</w:t>
      </w:r>
    </w:p>
    <w:p>
      <w:pPr>
        <w:pStyle w:val="Heading3"/>
        <w:spacing w:before="240"/>
      </w:pPr>
      <w:r>
        <w:rPr>
          <w:rFonts w:ascii="Calibri" w:hAnsi="Calibri"/>
          <w:b/>
          <w:color w:val="1D1D1B"/>
          <w:sz w:val="26"/>
        </w:rPr>
        <w:t>2.5.1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8" name="Picture 8"/>
            <wp:cNvGraphicFramePr>
              <a:graphicFrameLocks noChangeAspect="1"/>
            </wp:cNvGraphicFramePr>
            <a:graphic>
              <a:graphicData uri="http://schemas.openxmlformats.org/drawingml/2006/picture">
                <pic:pic>
                  <pic:nvPicPr>
                    <pic:cNvPr id="0" name="dq.png"/>
                    <pic:cNvPicPr/>
                  </pic:nvPicPr>
                  <pic:blipFill>
                    <a:blip r:embed="rId16"/>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240"/>
      </w:pPr>
      <w:r>
        <w:rPr>
          <w:rFonts w:ascii="Calibri" w:hAnsi="Calibri"/>
          <w:b/>
          <w:color w:val="1D1D1B"/>
          <w:sz w:val="32"/>
        </w:rPr>
        <w:t>2.6  Reconciliation: source to report</w:t>
      </w:r>
    </w:p>
    <w:p>
      <w:r>
        <w:t>What: this compares every raw Parquet source count with its staging model, then checks the campaign and revenue totals that feed Power BI. Why: it distinguishes a deliberate reduction, such as de-duplicating contacts, from a dropped partition or broken join. How: rerun the same dbt build and this table is regenerated from the read-only warehouse connection; a zero delta is an exact count match.</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Entity</w:t>
            </w:r>
          </w:p>
        </w:tc>
        <w:tc>
          <w:tcPr>
            <w:tcW w:type="dxa" w:w="2160"/>
          </w:tcPr>
          <w:p>
            <w:r>
              <w:t>Source rows</w:t>
            </w:r>
          </w:p>
        </w:tc>
        <w:tc>
          <w:tcPr>
            <w:tcW w:type="dxa" w:w="2160"/>
          </w:tcPr>
          <w:p>
            <w:r>
              <w:t>Staging rows</w:t>
            </w:r>
          </w:p>
        </w:tc>
        <w:tc>
          <w:tcPr>
            <w:tcW w:type="dxa" w:w="2160"/>
          </w:tcPr>
          <w:p>
            <w:r>
              <w:t>Delta</w:t>
            </w:r>
          </w:p>
        </w:tc>
      </w:tr>
      <w:tr>
        <w:tc>
          <w:tcPr>
            <w:tcW w:type="dxa" w:w="2160"/>
          </w:tcPr>
          <w:p>
            <w:r>
              <w:t>Lead</w:t>
            </w:r>
          </w:p>
        </w:tc>
        <w:tc>
          <w:tcPr>
            <w:tcW w:type="dxa" w:w="2160"/>
          </w:tcPr>
          <w:p>
            <w:r>
              <w:t>1,500,000</w:t>
            </w:r>
          </w:p>
        </w:tc>
        <w:tc>
          <w:tcPr>
            <w:tcW w:type="dxa" w:w="2160"/>
          </w:tcPr>
          <w:p>
            <w:r>
              <w:t>1,500,000</w:t>
            </w:r>
          </w:p>
        </w:tc>
        <w:tc>
          <w:tcPr>
            <w:tcW w:type="dxa" w:w="2160"/>
          </w:tcPr>
          <w:p>
            <w:r>
              <w:t>0</w:t>
            </w:r>
          </w:p>
        </w:tc>
      </w:tr>
      <w:tr>
        <w:tc>
          <w:tcPr>
            <w:tcW w:type="dxa" w:w="2160"/>
          </w:tcPr>
          <w:p>
            <w:r>
              <w:t>Contact</w:t>
            </w:r>
          </w:p>
        </w:tc>
        <w:tc>
          <w:tcPr>
            <w:tcW w:type="dxa" w:w="2160"/>
          </w:tcPr>
          <w:p>
            <w:r>
              <w:t>1,194,805</w:t>
            </w:r>
          </w:p>
        </w:tc>
        <w:tc>
          <w:tcPr>
            <w:tcW w:type="dxa" w:w="2160"/>
          </w:tcPr>
          <w:p>
            <w:r>
              <w:t>1,194,805</w:t>
            </w:r>
          </w:p>
        </w:tc>
        <w:tc>
          <w:tcPr>
            <w:tcW w:type="dxa" w:w="2160"/>
          </w:tcPr>
          <w:p>
            <w:r>
              <w:t>0</w:t>
            </w:r>
          </w:p>
        </w:tc>
      </w:tr>
      <w:tr>
        <w:tc>
          <w:tcPr>
            <w:tcW w:type="dxa" w:w="2160"/>
          </w:tcPr>
          <w:p>
            <w:r>
              <w:t>Opportunity</w:t>
            </w:r>
          </w:p>
        </w:tc>
        <w:tc>
          <w:tcPr>
            <w:tcW w:type="dxa" w:w="2160"/>
          </w:tcPr>
          <w:p>
            <w:r>
              <w:t>740,779</w:t>
            </w:r>
          </w:p>
        </w:tc>
        <w:tc>
          <w:tcPr>
            <w:tcW w:type="dxa" w:w="2160"/>
          </w:tcPr>
          <w:p>
            <w:r>
              <w:t>740,779</w:t>
            </w:r>
          </w:p>
        </w:tc>
        <w:tc>
          <w:tcPr>
            <w:tcW w:type="dxa" w:w="2160"/>
          </w:tcPr>
          <w:p>
            <w:r>
              <w:t>0</w:t>
            </w:r>
          </w:p>
        </w:tc>
      </w:tr>
      <w:tr>
        <w:tc>
          <w:tcPr>
            <w:tcW w:type="dxa" w:w="2160"/>
          </w:tcPr>
          <w:p>
            <w:r>
              <w:t>Application</w:t>
            </w:r>
          </w:p>
        </w:tc>
        <w:tc>
          <w:tcPr>
            <w:tcW w:type="dxa" w:w="2160"/>
          </w:tcPr>
          <w:p>
            <w:r>
              <w:t>533,360</w:t>
            </w:r>
          </w:p>
        </w:tc>
        <w:tc>
          <w:tcPr>
            <w:tcW w:type="dxa" w:w="2160"/>
          </w:tcPr>
          <w:p>
            <w:r>
              <w:t>533,360</w:t>
            </w:r>
          </w:p>
        </w:tc>
        <w:tc>
          <w:tcPr>
            <w:tcW w:type="dxa" w:w="2160"/>
          </w:tcPr>
          <w:p>
            <w:r>
              <w:t>0</w:t>
            </w:r>
          </w:p>
        </w:tc>
      </w:tr>
      <w:tr>
        <w:tc>
          <w:tcPr>
            <w:tcW w:type="dxa" w:w="2160"/>
          </w:tcPr>
          <w:p>
            <w:r>
              <w:t>Enrolment</w:t>
            </w:r>
          </w:p>
        </w:tc>
        <w:tc>
          <w:tcPr>
            <w:tcW w:type="dxa" w:w="2160"/>
          </w:tcPr>
          <w:p>
            <w:r>
              <w:t>304,168</w:t>
            </w:r>
          </w:p>
        </w:tc>
        <w:tc>
          <w:tcPr>
            <w:tcW w:type="dxa" w:w="2160"/>
          </w:tcPr>
          <w:p>
            <w:r>
              <w:t>304,168</w:t>
            </w:r>
          </w:p>
        </w:tc>
        <w:tc>
          <w:tcPr>
            <w:tcW w:type="dxa" w:w="2160"/>
          </w:tcPr>
          <w:p>
            <w:r>
              <w:t>0</w:t>
            </w:r>
          </w:p>
        </w:tc>
      </w:tr>
      <w:tr>
        <w:tc>
          <w:tcPr>
            <w:tcW w:type="dxa" w:w="2160"/>
          </w:tcPr>
          <w:p>
            <w:r>
              <w:t>Campaign</w:t>
            </w:r>
          </w:p>
        </w:tc>
        <w:tc>
          <w:tcPr>
            <w:tcW w:type="dxa" w:w="2160"/>
          </w:tcPr>
          <w:p>
            <w:r>
              <w:t>480</w:t>
            </w:r>
          </w:p>
        </w:tc>
        <w:tc>
          <w:tcPr>
            <w:tcW w:type="dxa" w:w="2160"/>
          </w:tcPr>
          <w:p>
            <w:r>
              <w:t>480</w:t>
            </w:r>
          </w:p>
        </w:tc>
        <w:tc>
          <w:tcPr>
            <w:tcW w:type="dxa" w:w="2160"/>
          </w:tcPr>
          <w:p>
            <w:r>
              <w:t>0</w:t>
            </w:r>
          </w:p>
        </w:tc>
      </w:tr>
      <w:tr>
        <w:tc>
          <w:tcPr>
            <w:tcW w:type="dxa" w:w="2160"/>
          </w:tcPr>
          <w:p>
            <w:r>
              <w:t>Campaign member</w:t>
            </w:r>
          </w:p>
        </w:tc>
        <w:tc>
          <w:tcPr>
            <w:tcW w:type="dxa" w:w="2160"/>
          </w:tcPr>
          <w:p>
            <w:r>
              <w:t>2,533,440</w:t>
            </w:r>
          </w:p>
        </w:tc>
        <w:tc>
          <w:tcPr>
            <w:tcW w:type="dxa" w:w="2160"/>
          </w:tcPr>
          <w:p>
            <w:r>
              <w:t>2,533,440</w:t>
            </w:r>
          </w:p>
        </w:tc>
        <w:tc>
          <w:tcPr>
            <w:tcW w:type="dxa" w:w="2160"/>
          </w:tcPr>
          <w:p>
            <w:r>
              <w:t>0</w:t>
            </w:r>
          </w:p>
        </w:tc>
      </w:tr>
      <w:tr>
        <w:tc>
          <w:tcPr>
            <w:tcW w:type="dxa" w:w="2160"/>
          </w:tcPr>
          <w:p>
            <w:r>
              <w:t>Student</w:t>
            </w:r>
          </w:p>
        </w:tc>
        <w:tc>
          <w:tcPr>
            <w:tcW w:type="dxa" w:w="2160"/>
          </w:tcPr>
          <w:p>
            <w:r>
              <w:t>254,931</w:t>
            </w:r>
          </w:p>
        </w:tc>
        <w:tc>
          <w:tcPr>
            <w:tcW w:type="dxa" w:w="2160"/>
          </w:tcPr>
          <w:p>
            <w:r>
              <w:t>254,931</w:t>
            </w:r>
          </w:p>
        </w:tc>
        <w:tc>
          <w:tcPr>
            <w:tcW w:type="dxa" w:w="2160"/>
          </w:tcPr>
          <w:p>
            <w:r>
              <w:t>0</w:t>
            </w:r>
          </w:p>
        </w:tc>
      </w:tr>
      <w:tr>
        <w:tc>
          <w:tcPr>
            <w:tcW w:type="dxa" w:w="2160"/>
          </w:tcPr>
          <w:p>
            <w:r>
              <w:t>Student progress</w:t>
            </w:r>
          </w:p>
        </w:tc>
        <w:tc>
          <w:tcPr>
            <w:tcW w:type="dxa" w:w="2160"/>
          </w:tcPr>
          <w:p>
            <w:r>
              <w:t>3,799,284</w:t>
            </w:r>
          </w:p>
        </w:tc>
        <w:tc>
          <w:tcPr>
            <w:tcW w:type="dxa" w:w="2160"/>
          </w:tcPr>
          <w:p>
            <w:r>
              <w:t>3,799,284</w:t>
            </w:r>
          </w:p>
        </w:tc>
        <w:tc>
          <w:tcPr>
            <w:tcW w:type="dxa" w:w="2160"/>
          </w:tcPr>
          <w:p>
            <w:r>
              <w:t>0</w:t>
            </w:r>
          </w:p>
        </w:tc>
      </w:tr>
      <w:tr>
        <w:tc>
          <w:tcPr>
            <w:tcW w:type="dxa" w:w="2160"/>
          </w:tcPr>
          <w:p>
            <w:r>
              <w:t>Programme</w:t>
            </w:r>
          </w:p>
        </w:tc>
        <w:tc>
          <w:tcPr>
            <w:tcW w:type="dxa" w:w="2160"/>
          </w:tcPr>
          <w:p>
            <w:r>
              <w:t>83</w:t>
            </w:r>
          </w:p>
        </w:tc>
        <w:tc>
          <w:tcPr>
            <w:tcW w:type="dxa" w:w="2160"/>
          </w:tcPr>
          <w:p>
            <w:r>
              <w:t>83</w:t>
            </w:r>
          </w:p>
        </w:tc>
        <w:tc>
          <w:tcPr>
            <w:tcW w:type="dxa" w:w="2160"/>
          </w:tcPr>
          <w:p>
            <w:r>
              <w:t>0</w:t>
            </w:r>
          </w:p>
        </w:tc>
      </w:tr>
      <w:tr>
        <w:tc>
          <w:tcPr>
            <w:tcW w:type="dxa" w:w="2160"/>
          </w:tcPr>
          <w:p>
            <w:r>
              <w:t>Offering</w:t>
            </w:r>
          </w:p>
        </w:tc>
        <w:tc>
          <w:tcPr>
            <w:tcW w:type="dxa" w:w="2160"/>
          </w:tcPr>
          <w:p>
            <w:r>
              <w:t>89</w:t>
            </w:r>
          </w:p>
        </w:tc>
        <w:tc>
          <w:tcPr>
            <w:tcW w:type="dxa" w:w="2160"/>
          </w:tcPr>
          <w:p>
            <w:r>
              <w:t>89</w:t>
            </w:r>
          </w:p>
        </w:tc>
        <w:tc>
          <w:tcPr>
            <w:tcW w:type="dxa" w:w="2160"/>
          </w:tcPr>
          <w:p>
            <w:r>
              <w:t>0</w:t>
            </w:r>
          </w:p>
        </w:tc>
      </w:tr>
      <w:tr>
        <w:tc>
          <w:tcPr>
            <w:tcW w:type="dxa" w:w="2160"/>
          </w:tcPr>
          <w:p>
            <w:r>
              <w:t>Intake</w:t>
            </w:r>
          </w:p>
        </w:tc>
        <w:tc>
          <w:tcPr>
            <w:tcW w:type="dxa" w:w="2160"/>
          </w:tcPr>
          <w:p>
            <w:r>
              <w:t>47</w:t>
            </w:r>
          </w:p>
        </w:tc>
        <w:tc>
          <w:tcPr>
            <w:tcW w:type="dxa" w:w="2160"/>
          </w:tcPr>
          <w:p>
            <w:r>
              <w:t>47</w:t>
            </w:r>
          </w:p>
        </w:tc>
        <w:tc>
          <w:tcPr>
            <w:tcW w:type="dxa" w:w="2160"/>
          </w:tcPr>
          <w:p>
            <w:r>
              <w:t>0</w:t>
            </w:r>
          </w:p>
        </w:tc>
      </w:tr>
    </w:tbl>
    <w:p>
      <w:r>
        <w:t>All 12 source-to-staging deltas are zero. The expected contact reduction is 1,165,332 golden people from 1,194,805 source contact records; the difference is the duplicate population resolved by the two-key entity model. The admissions fact contains 740,779 opportunity-grain rows and the campaign performance mart contains 480 campaign-grain rows.</w:t>
      </w:r>
    </w:p>
    <w:p>
      <w:r>
        <w:t>Financial reconciliation: campaign spend dimension R471,994,991.55 versus campaign fact R471,994,991.55 (MATCH); enrolment revenue staging R2,867,214,315.80 versus campaign fact R1,896,377,742.41 (REVIEW).</w:t>
      </w:r>
    </w:p>
    <w:p>
      <w:r>
        <w:t>The revenue REVIEW is explained by 103,218 enrolments carrying R970,836,573.39 without a primary campaign key. That amount remains in the enrolment staging total but cannot honestly be assigned to a campaign; the gap is R970,836,573.39, not a dropped record. Recommended solution: report this as an explicit unattributed segment, then improve campaign capture or backfill only from verified source evidence. Never distribute it across campaigns to force a match.</w:t>
      </w:r>
    </w:p>
    <w:p>
      <w:pPr>
        <w:pStyle w:val="Heading2"/>
        <w:spacing w:before="320"/>
      </w:pPr>
      <w:r>
        <w:rPr>
          <w:rFonts w:ascii="Calibri" w:hAnsi="Calibri"/>
          <w:b/>
          <w:color w:val="1D1D1B"/>
          <w:sz w:val="34"/>
        </w:rPr>
        <w:t>2.7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prog_demand.png"/>
                    <pic:cNvPicPr/>
                  </pic:nvPicPr>
                  <pic:blipFill>
                    <a:blip r:embed="rId17"/>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2.7.1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10" name="Picture 10"/>
            <wp:cNvGraphicFramePr>
              <a:graphicFrameLocks noChangeAspect="1"/>
            </wp:cNvGraphicFramePr>
            <a:graphic>
              <a:graphicData uri="http://schemas.openxmlformats.org/drawingml/2006/picture">
                <pic:pic>
                  <pic:nvPicPr>
                    <pic:cNvPr id="0" name="province.png"/>
                    <pic:cNvPicPr/>
                  </pic:nvPicPr>
                  <pic:blipFill>
                    <a:blip r:embed="rId18"/>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jc w:val="center"/>
      </w:pPr>
      <w:r>
        <w:drawing>
          <wp:inline xmlns:a="http://schemas.openxmlformats.org/drawingml/2006/main" xmlns:pic="http://schemas.openxmlformats.org/drawingml/2006/picture">
            <wp:extent cx="5577840" cy="3129944"/>
            <wp:docPr id="11" name="Picture 11"/>
            <wp:cNvGraphicFramePr>
              <a:graphicFrameLocks noChangeAspect="1"/>
            </wp:cNvGraphicFramePr>
            <a:graphic>
              <a:graphicData uri="http://schemas.openxmlformats.org/drawingml/2006/picture">
                <pic:pic>
                  <pic:nvPicPr>
                    <pic:cNvPr id="0" name="student-cohort.jfif"/>
                    <pic:cNvPicPr/>
                  </pic:nvPicPr>
                  <pic:blipFill>
                    <a:blip r:embed="rId19"/>
                    <a:stretch>
                      <a:fillRect/>
                    </a:stretch>
                  </pic:blipFill>
                  <pic:spPr>
                    <a:xfrm>
                      <a:off x="0" y="0"/>
                      <a:ext cx="5577840" cy="3129944"/>
                    </a:xfrm>
                    <a:prstGeom prst="rect"/>
                  </pic:spPr>
                </pic:pic>
              </a:graphicData>
            </a:graphic>
          </wp:inline>
        </w:drawing>
      </w:r>
    </w:p>
    <w:p>
      <w:pPr>
        <w:jc w:val="center"/>
      </w:pPr>
      <w:r>
        <w:rPr>
          <w:i/>
          <w:color w:val="60646B"/>
          <w:sz w:val="17"/>
        </w:rPr>
        <w:t>Red &amp; Yellow student community — supplied brand image used as context for the learner journey.</w:t>
      </w:r>
    </w:p>
    <w:p>
      <w:pPr>
        <w:pStyle w:val="Heading3"/>
        <w:spacing w:before="240"/>
      </w:pPr>
      <w:r>
        <w:rPr>
          <w:rFonts w:ascii="Calibri" w:hAnsi="Calibri"/>
          <w:b/>
          <w:color w:val="1D1D1B"/>
          <w:sz w:val="26"/>
        </w:rPr>
        <w:t>2.7.2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12" name="Picture 12"/>
            <wp:cNvGraphicFramePr>
              <a:graphicFrameLocks noChangeAspect="1"/>
            </wp:cNvGraphicFramePr>
            <a:graphic>
              <a:graphicData uri="http://schemas.openxmlformats.org/drawingml/2006/picture">
                <pic:pic>
                  <pic:nvPicPr>
                    <pic:cNvPr id="0" name="conversion.png"/>
                    <pic:cNvPicPr/>
                  </pic:nvPicPr>
                  <pic:blipFill>
                    <a:blip r:embed="rId20"/>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2.8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2.9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2.10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13" name="Picture 13"/>
            <wp:cNvGraphicFramePr>
              <a:graphicFrameLocks noChangeAspect="1"/>
            </wp:cNvGraphicFramePr>
            <a:graphic>
              <a:graphicData uri="http://schemas.openxmlformats.org/drawingml/2006/picture">
                <pic:pic>
                  <pic:nvPicPr>
                    <pic:cNvPr id="0" name="ev_01_org_check.png"/>
                    <pic:cNvPicPr/>
                  </pic:nvPicPr>
                  <pic:blipFill>
                    <a:blip r:embed="rId21"/>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4" name="Picture 14"/>
            <wp:cNvGraphicFramePr>
              <a:graphicFrameLocks noChangeAspect="1"/>
            </wp:cNvGraphicFramePr>
            <a:graphic>
              <a:graphicData uri="http://schemas.openxmlformats.org/drawingml/2006/picture">
                <pic:pic>
                  <pic:nvPicPr>
                    <pic:cNvPr id="0" name="ev_02_metadata_validate.png"/>
                    <pic:cNvPicPr/>
                  </pic:nvPicPr>
                  <pic:blipFill>
                    <a:blip r:embed="rId22"/>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Accounts, contacts, leads and opportunities, upserted on an external ID so the load is idempotent - re-running updates rather than duplicates. Two things pushed back, and both were right to. Salesforce rejects the external ID in the request body when it is already the key in the URL. And its duplicate rules blocked leads that fuzzy-matched existing contacts at 100% confidence - the same duplicates the warehouse's own entity resolution finds, caught independently by the CRM.</w:t>
      </w:r>
    </w:p>
    <w:p>
      <w:pPr>
        <w:jc w:val="center"/>
      </w:pPr>
      <w:r>
        <w:drawing>
          <wp:inline xmlns:a="http://schemas.openxmlformats.org/drawingml/2006/main" xmlns:pic="http://schemas.openxmlformats.org/drawingml/2006/picture">
            <wp:extent cx="5577840" cy="2368838"/>
            <wp:docPr id="15" name="Picture 15"/>
            <wp:cNvGraphicFramePr>
              <a:graphicFrameLocks noChangeAspect="1"/>
            </wp:cNvGraphicFramePr>
            <a:graphic>
              <a:graphicData uri="http://schemas.openxmlformats.org/drawingml/2006/picture">
                <pic:pic>
                  <pic:nvPicPr>
                    <pic:cNvPr id="0" name="ev_03_import_result.png"/>
                    <pic:cNvPicPr/>
                  </pic:nvPicPr>
                  <pic:blipFill>
                    <a:blip r:embed="rId23"/>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jc w:val="center"/>
      </w:pPr>
      <w:r>
        <w:drawing>
          <wp:inline xmlns:a="http://schemas.openxmlformats.org/drawingml/2006/main" xmlns:pic="http://schemas.openxmlformats.org/drawingml/2006/picture">
            <wp:extent cx="5577840" cy="2939058"/>
            <wp:docPr id="16" name="Picture 16"/>
            <wp:cNvGraphicFramePr>
              <a:graphicFrameLocks noChangeAspect="1"/>
            </wp:cNvGraphicFramePr>
            <a:graphic>
              <a:graphicData uri="http://schemas.openxmlformats.org/drawingml/2006/picture">
                <pic:pic>
                  <pic:nvPicPr>
                    <pic:cNvPr id="0" name="ev_04_org_counts.png"/>
                    <pic:cNvPicPr/>
                  </pic:nvPicPr>
                  <pic:blipFill>
                    <a:blip r:embed="rId24"/>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17" name="Picture 17"/>
            <wp:cNvGraphicFramePr>
              <a:graphicFrameLocks noChangeAspect="1"/>
            </wp:cNvGraphicFramePr>
            <a:graphic>
              <a:graphicData uri="http://schemas.openxmlformats.org/drawingml/2006/picture">
                <pic:pic>
                  <pic:nvPicPr>
                    <pic:cNvPr id="0" name="ev_05_extraction.png"/>
                    <pic:cNvPicPr/>
                  </pic:nvPicPr>
                  <pic:blipFill>
                    <a:blip r:embed="rId25"/>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3.5  5.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798618"/>
            <wp:docPr id="18" name="Picture 18"/>
            <wp:cNvGraphicFramePr>
              <a:graphicFrameLocks noChangeAspect="1"/>
            </wp:cNvGraphicFramePr>
            <a:graphic>
              <a:graphicData uri="http://schemas.openxmlformats.org/drawingml/2006/picture">
                <pic:pic>
                  <pic:nvPicPr>
                    <pic:cNvPr id="0" name="ev_06_dbt_tests.png"/>
                    <pic:cNvPicPr/>
                  </pic:nvPicPr>
                  <pic:blipFill>
                    <a:blip r:embed="rId26"/>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t>The reproducible run record, delivery-mode check and DuckDB/Fabric scope are documented in docs/DBT_EVIDENCE.md.</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19" name="Picture 19"/>
            <wp:cNvGraphicFramePr>
              <a:graphicFrameLocks noChangeAspect="1"/>
            </wp:cNvGraphicFramePr>
            <a:graphic>
              <a:graphicData uri="http://schemas.openxmlformats.org/drawingml/2006/picture">
                <pic:pic>
                  <pic:nvPicPr>
                    <pic:cNvPr id="0" name="ml_bands.png"/>
                    <pic:cNvPicPr/>
                  </pic:nvPicPr>
                  <pic:blipFill>
                    <a:blip r:embed="rId27"/>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20" name="Picture 20"/>
            <wp:cNvGraphicFramePr>
              <a:graphicFrameLocks noChangeAspect="1"/>
            </wp:cNvGraphicFramePr>
            <a:graphic>
              <a:graphicData uri="http://schemas.openxmlformats.org/drawingml/2006/picture">
                <pic:pic>
                  <pic:nvPicPr>
                    <pic:cNvPr id="0" name="ml_importance.png"/>
                    <pic:cNvPicPr/>
                  </pic:nvPicPr>
                  <pic:blipFill>
                    <a:blip r:embed="rId28"/>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pPr>
        <w:pStyle w:val="Heading2"/>
        <w:spacing w:before="240"/>
      </w:pPr>
      <w:r>
        <w:rPr>
          <w:rFonts w:ascii="Calibri" w:hAnsi="Calibri"/>
          <w:b/>
          <w:color w:val="1D1D1B"/>
          <w:sz w:val="32"/>
        </w:rPr>
        <w:t>4.3  From AI score to a human decision</w:t>
      </w:r>
    </w:p>
    <w:p>
      <w:r>
        <w:t>The model outputs are warehouse tables, not autonomous CRM actions. The lead-propensity score orders a worklist: a recruiter can spend their next call on the leads most likely to enrol, while still seeing the band and the underlying CRM record. The withdrawal-risk score is an early-warning list for a student-success team. It should trigger a conversation or support offer, never an automated adverse decision. Power BI exposes the score distribution and observed outcomes so a team can see whether the ranking remains useful before operationalising it.</w:t>
      </w:r>
    </w:p>
    <w:p>
      <w:r>
        <w:br w:type="page"/>
      </w:r>
    </w:p>
    <w:p>
      <w:pPr>
        <w:pStyle w:val="Heading1"/>
        <w:spacing w:before="0"/>
      </w:pPr>
      <w:r>
        <w:rPr>
          <w:rFonts w:ascii="Calibri" w:hAnsi="Calibri"/>
          <w:b/>
          <w:color w:val="F52635"/>
          <w:sz w:val="40"/>
        </w:rPr>
        <w:t>5  Recommendations and solutions</w:t>
      </w:r>
    </w:p>
    <w:p>
      <w:r>
        <w:t>The dashboard is most useful when each signal ends in a decision. The table below turns the observed patterns into a practical owner, intervention and success measure. It is a control plan for the next operating cycle, not a claim that synthetic outcomes will repeat in the live organisation.</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Area</w:t>
            </w:r>
          </w:p>
        </w:tc>
        <w:tc>
          <w:tcPr>
            <w:tcW w:type="dxa" w:w="2160"/>
          </w:tcPr>
          <w:p>
            <w:r>
              <w:t>Signal</w:t>
            </w:r>
          </w:p>
        </w:tc>
        <w:tc>
          <w:tcPr>
            <w:tcW w:type="dxa" w:w="2160"/>
          </w:tcPr>
          <w:p>
            <w:r>
              <w:t>Solution</w:t>
            </w:r>
          </w:p>
        </w:tc>
        <w:tc>
          <w:tcPr>
            <w:tcW w:type="dxa" w:w="2160"/>
          </w:tcPr>
          <w:p>
            <w:r>
              <w:t>Success measure</w:t>
            </w:r>
          </w:p>
        </w:tc>
      </w:tr>
      <w:tr>
        <w:tc>
          <w:tcPr>
            <w:tcW w:type="dxa" w:w="2160"/>
          </w:tcPr>
          <w:p>
            <w:r>
              <w:t>Acquisition</w:t>
            </w:r>
          </w:p>
        </w:tc>
        <w:tc>
          <w:tcPr>
            <w:tcW w:type="dxa" w:w="2160"/>
          </w:tcPr>
          <w:p>
            <w:r>
              <w:t>Channel response, enrolment rate and revenue per member diverge.</w:t>
            </w:r>
          </w:p>
        </w:tc>
        <w:tc>
          <w:tcPr>
            <w:tcW w:type="dxa" w:w="2160"/>
          </w:tcPr>
          <w:p>
            <w:r>
              <w:t>Run a controlled budget test toward the best-performing channel; set a stop rule for spend without response.</w:t>
            </w:r>
          </w:p>
        </w:tc>
        <w:tc>
          <w:tcPr>
            <w:tcW w:type="dxa" w:w="2160"/>
          </w:tcPr>
          <w:p>
            <w:r>
              <w:t>ROAS, spend per response and revenue per member improve without increasing total spend.</w:t>
            </w:r>
          </w:p>
        </w:tc>
      </w:tr>
      <w:tr>
        <w:tc>
          <w:tcPr>
            <w:tcW w:type="dxa" w:w="2160"/>
          </w:tcPr>
          <w:p>
            <w:r>
              <w:t>Admissions</w:t>
            </w:r>
          </w:p>
        </w:tc>
        <w:tc>
          <w:tcPr>
            <w:tcW w:type="dxa" w:w="2160"/>
          </w:tcPr>
          <w:p>
            <w:r>
              <w:t>Priority propensity leads convert at a much higher rate than the lower bands.</w:t>
            </w:r>
          </w:p>
        </w:tc>
        <w:tc>
          <w:tcPr>
            <w:tcW w:type="dxa" w:w="2160"/>
          </w:tcPr>
          <w:p>
            <w:r>
              <w:t>Route Priority leads to a named human queue within 24 hours and leave Low-band leads in automated nurture.</w:t>
            </w:r>
          </w:p>
        </w:tc>
        <w:tc>
          <w:tcPr>
            <w:tcW w:type="dxa" w:w="2160"/>
          </w:tcPr>
          <w:p>
            <w:r>
              <w:t>Response SLA and conversion rate improve; top-band lift remains stable on a holdout.</w:t>
            </w:r>
          </w:p>
        </w:tc>
      </w:tr>
      <w:tr>
        <w:tc>
          <w:tcPr>
            <w:tcW w:type="dxa" w:w="2160"/>
          </w:tcPr>
          <w:p>
            <w:r>
              <w:t>Student success</w:t>
            </w:r>
          </w:p>
        </w:tc>
        <w:tc>
          <w:tcPr>
            <w:tcW w:type="dxa" w:w="2160"/>
          </w:tcPr>
          <w:p>
            <w:r>
              <w:t>First-month attendance below 65% is associated with materially higher withdrawal.</w:t>
            </w:r>
          </w:p>
        </w:tc>
        <w:tc>
          <w:tcPr>
            <w:tcW w:type="dxa" w:w="2160"/>
          </w:tcPr>
          <w:p>
            <w:r>
              <w:t>Trigger a support conversation at week 4, log the intervention and compare with the prior cohort.</w:t>
            </w:r>
          </w:p>
        </w:tc>
        <w:tc>
          <w:tcPr>
            <w:tcW w:type="dxa" w:w="2160"/>
          </w:tcPr>
          <w:p>
            <w:r>
              <w:t>Week-4 attendance rises and withdrawal falls for comparable cohorts.</w:t>
            </w:r>
          </w:p>
        </w:tc>
      </w:tr>
      <w:tr>
        <w:tc>
          <w:tcPr>
            <w:tcW w:type="dxa" w:w="2160"/>
          </w:tcPr>
          <w:p>
            <w:r>
              <w:t>CRM quality</w:t>
            </w:r>
          </w:p>
        </w:tc>
        <w:tc>
          <w:tcPr>
            <w:tcW w:type="dxa" w:w="2160"/>
          </w:tcPr>
          <w:p>
            <w:r>
              <w:t>Blank-only filters, duplicate people and missing contact fields weaken follow-up.</w:t>
            </w:r>
          </w:p>
        </w:tc>
        <w:tc>
          <w:tcPr>
            <w:tcW w:type="dxa" w:w="2160"/>
          </w:tcPr>
          <w:p>
            <w:r>
              <w:t>Require external IDs, email and campaign membership at capture; send exceptions to a daily queue.</w:t>
            </w:r>
          </w:p>
        </w:tc>
        <w:tc>
          <w:tcPr>
            <w:tcW w:type="dxa" w:w="2160"/>
          </w:tcPr>
          <w:p>
            <w:r>
              <w:t>Email completeness rises, duplicate rate falls and unresolved issues are closed within SLA.</w:t>
            </w:r>
          </w:p>
        </w:tc>
      </w:tr>
      <w:tr>
        <w:tc>
          <w:tcPr>
            <w:tcW w:type="dxa" w:w="2160"/>
          </w:tcPr>
          <w:p>
            <w:r>
              <w:t>Catalogue</w:t>
            </w:r>
          </w:p>
        </w:tc>
        <w:tc>
          <w:tcPr>
            <w:tcW w:type="dxa" w:w="2160"/>
          </w:tcPr>
          <w:p>
            <w:r>
              <w:t>Enquire-for-price offerings have no defensible numeric fee.</w:t>
            </w:r>
          </w:p>
        </w:tc>
        <w:tc>
          <w:tcPr>
            <w:tcW w:type="dxa" w:w="2160"/>
          </w:tcPr>
          <w:p>
            <w:r>
              <w:t>Keep price as null with an explicit status; add a verified fee only when the public source supplies one.</w:t>
            </w:r>
          </w:p>
        </w:tc>
        <w:tc>
          <w:tcPr>
            <w:tcW w:type="dxa" w:w="2160"/>
          </w:tcPr>
          <w:p>
            <w:r>
              <w:t>No unknown price is reported as zero and fee refreshes retain source evidence.</w:t>
            </w:r>
          </w:p>
        </w:tc>
      </w:tr>
      <w:tr>
        <w:tc>
          <w:tcPr>
            <w:tcW w:type="dxa" w:w="2160"/>
          </w:tcPr>
          <w:p>
            <w:r>
              <w:t>Platform</w:t>
            </w:r>
          </w:p>
        </w:tc>
        <w:tc>
          <w:tcPr>
            <w:tcW w:type="dxa" w:w="2160"/>
          </w:tcPr>
          <w:p>
            <w:r>
              <w:t>Bronze is verified; silver/gold Fabric execution and GA4 are still gated.</w:t>
            </w:r>
          </w:p>
        </w:tc>
        <w:tc>
          <w:tcPr>
            <w:tcW w:type="dxa" w:w="2160"/>
          </w:tcPr>
          <w:p>
            <w:r>
              <w:t>Finish DuckDB-to-T-SQL compatibility fixes, rerun dbt in Fabric, then add GA4 as a separate dated bronze source.</w:t>
            </w:r>
          </w:p>
        </w:tc>
        <w:tc>
          <w:tcPr>
            <w:tcW w:type="dxa" w:w="2160"/>
          </w:tcPr>
          <w:p>
            <w:r>
              <w:t>A passing Fabric run and a reconciled GA4-to-campaign mart before production reporting.</w:t>
            </w:r>
          </w:p>
        </w:tc>
      </w:tr>
    </w:tbl>
    <w:p>
      <w:pPr>
        <w:pStyle w:val="Heading2"/>
        <w:spacing w:before="240"/>
      </w:pPr>
      <w:r>
        <w:rPr>
          <w:rFonts w:ascii="Calibri" w:hAnsi="Calibri"/>
          <w:b/>
          <w:color w:val="1D1D1B"/>
          <w:sz w:val="32"/>
        </w:rPr>
        <w:t>5.1  90-day implementation sequence</w:t>
      </w:r>
    </w:p>
    <w:p>
      <w:pPr>
        <w:pStyle w:val="ListBullet"/>
      </w:pPr>
      <w:r>
        <w:rPr>
          <w:b/>
          <w:color w:val="F52635"/>
        </w:rPr>
        <w:t xml:space="preserve">Days 0-30 - Stabilise. </w:t>
      </w:r>
      <w:r>
        <w:t>Confirm field rules, remove blank-bound slicers, assign the Priority queue and baseline the KPI cards.</w:t>
      </w:r>
    </w:p>
    <w:p>
      <w:pPr>
        <w:pStyle w:val="ListBullet"/>
      </w:pPr>
      <w:r>
        <w:rPr>
          <w:b/>
          <w:color w:val="F52635"/>
        </w:rPr>
        <w:t xml:space="preserve">Days 31-60 - Test. </w:t>
      </w:r>
      <w:r>
        <w:t>Run channel and follow-up holdouts, log student-support interventions and keep spend and cohort definitions fixed.</w:t>
      </w:r>
    </w:p>
    <w:p>
      <w:pPr>
        <w:pStyle w:val="ListBullet"/>
      </w:pPr>
      <w:r>
        <w:rPr>
          <w:b/>
          <w:color w:val="F52635"/>
        </w:rPr>
        <w:t xml:space="preserve">Days 61-90 - Scale. </w:t>
      </w:r>
      <w:r>
        <w:t>Promote only interventions that beat baseline, publish the weekly action list and monitor model drift by delivery mode and channel.</w:t>
      </w:r>
    </w:p>
    <w:p>
      <w:r>
        <w:t>No model score should make an automated adverse decision. Scores order a worklist for a human team; the team records the action and the outcome so the recommendation can be challenged and improved.</w:t>
      </w:r>
    </w:p>
    <w:p>
      <w:r>
        <w:br w:type="page"/>
      </w:r>
    </w:p>
    <w:p>
      <w:pPr>
        <w:pStyle w:val="Heading1"/>
        <w:spacing w:before="0"/>
      </w:pPr>
      <w:r>
        <w:rPr>
          <w:rFonts w:ascii="Calibri" w:hAnsi="Calibri"/>
          <w:b/>
          <w:color w:val="F52635"/>
          <w:sz w:val="40"/>
        </w:rPr>
        <w:t>6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21" name="Picture 21"/>
            <wp:cNvGraphicFramePr>
              <a:graphicFrameLocks noChangeAspect="1"/>
            </wp:cNvGraphicFramePr>
            <a:graphic>
              <a:graphicData uri="http://schemas.openxmlformats.org/drawingml/2006/picture">
                <pic:pic>
                  <pic:nvPicPr>
                    <pic:cNvPr id="0" name="ev_09_medallion.png"/>
                    <pic:cNvPicPr/>
                  </pic:nvPicPr>
                  <pic:blipFill>
                    <a:blip r:embed="rId29"/>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6.1  Full canonical Salesforce ERD</w:t>
      </w:r>
    </w:p>
    <w:p>
      <w:r>
        <w:t>The complete canonical ERD is included here as the source-of-truth relationship map. It includes the public catalogue objects, Salesforce operational objects, applications, enrolments and student-progress spine. Archived diagrams are not implementation targets.</w:t>
      </w:r>
    </w:p>
    <w:p>
      <w:pPr>
        <w:jc w:val="center"/>
      </w:pPr>
      <w:r>
        <w:drawing>
          <wp:inline xmlns:a="http://schemas.openxmlformats.org/drawingml/2006/main" xmlns:pic="http://schemas.openxmlformats.org/drawingml/2006/picture">
            <wp:extent cx="5669280" cy="4251960"/>
            <wp:docPr id="22" name="Picture 22"/>
            <wp:cNvGraphicFramePr>
              <a:graphicFrameLocks noChangeAspect="1"/>
            </wp:cNvGraphicFramePr>
            <a:graphic>
              <a:graphicData uri="http://schemas.openxmlformats.org/drawingml/2006/picture">
                <pic:pic>
                  <pic:nvPicPr>
                    <pic:cNvPr id="0" name="03_Canonical_ERD.png"/>
                    <pic:cNvPicPr/>
                  </pic:nvPicPr>
                  <pic:blipFill>
                    <a:blip r:embed="rId30"/>
                    <a:stretch>
                      <a:fillRect/>
                    </a:stretch>
                  </pic:blipFill>
                  <pic:spPr>
                    <a:xfrm>
                      <a:off x="0" y="0"/>
                      <a:ext cx="5669280" cy="4251960"/>
                    </a:xfrm>
                    <a:prstGeom prst="rect"/>
                  </pic:spPr>
                </pic:pic>
              </a:graphicData>
            </a:graphic>
          </wp:inline>
        </w:drawing>
      </w:r>
    </w:p>
    <w:p>
      <w:pPr>
        <w:jc w:val="center"/>
      </w:pPr>
      <w:r>
        <w:rPr>
          <w:i/>
          <w:color w:val="60646B"/>
          <w:sz w:val="17"/>
        </w:rPr>
        <w:t>Canonical Salesforce ERD — complete implementation target, rendered from erds/overview.svg.</w:t>
      </w:r>
    </w:p>
    <w:p>
      <w:pPr>
        <w:pStyle w:val="Heading2"/>
        <w:spacing w:before="240"/>
      </w:pPr>
      <w:r>
        <w:rPr>
          <w:rFonts w:ascii="Calibri" w:hAnsi="Calibri"/>
          <w:b/>
          <w:color w:val="1D1D1B"/>
          <w:sz w:val="32"/>
        </w:rPr>
        <w:t>6.2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23" name="Picture 23"/>
            <wp:cNvGraphicFramePr>
              <a:graphicFrameLocks noChangeAspect="1"/>
            </wp:cNvGraphicFramePr>
            <a:graphic>
              <a:graphicData uri="http://schemas.openxmlformats.org/drawingml/2006/picture">
                <pic:pic>
                  <pic:nvPicPr>
                    <pic:cNvPr id="0" name="ev_10_data_model.png"/>
                    <pic:cNvPicPr/>
                  </pic:nvPicPr>
                  <pic:blipFill>
                    <a:blip r:embed="rId31"/>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7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7.1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24" name="Picture 24"/>
            <wp:cNvGraphicFramePr>
              <a:graphicFrameLocks noChangeAspect="1"/>
            </wp:cNvGraphicFramePr>
            <a:graphic>
              <a:graphicData uri="http://schemas.openxmlformats.org/drawingml/2006/picture">
                <pic:pic>
                  <pic:nvPicPr>
                    <pic:cNvPr id="0" name="ev_07_nifi_flow.png"/>
                    <pic:cNvPicPr/>
                  </pic:nvPicPr>
                  <pic:blipFill>
                    <a:blip r:embed="rId32"/>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pPr>
        <w:pStyle w:val="Heading2"/>
        <w:spacing w:before="240"/>
      </w:pPr>
      <w:r>
        <w:rPr>
          <w:rFonts w:ascii="Calibri" w:hAnsi="Calibri"/>
          <w:b/>
          <w:color w:val="1D1D1B"/>
          <w:sz w:val="32"/>
        </w:rPr>
        <w:t>7.2  Microsoft Fabric</w:t>
      </w:r>
    </w:p>
    <w:p>
      <w:r>
        <w:t>Fabric Warehouse bronze is verified. All 13 landed source tables are present in raw_salesforce: 1.50 million leads, 1.14 million contacts, 2.53 million campaign members, 706 thousand opportunities, 494 thousand applications and 2.10 million student-progress rows, with the programme catalogue tables alongside them. The Azure CLI dbt connection and a bronze campaign view both passed. The silver and gold Fabric build is intentionally not claimed as complete: its remaining failures are documented DuckDB-to-T-SQL compatibility work, including date and join syntax.</w:t>
      </w:r>
    </w:p>
    <w:p>
      <w:r>
        <w:t>The bronze land is partitioned by table in OneLake. A workspace created through the API arrives with no capacity attached, and every Fabric item type then fails with a 403 that looks like licensing rather than an unassigned workspace. Trial capacity does not stop on its own, so delete the project workspace when the demonstration is complete.</w:t>
      </w:r>
    </w:p>
    <w:p>
      <w:pPr>
        <w:jc w:val="center"/>
      </w:pPr>
      <w:r>
        <w:drawing>
          <wp:inline xmlns:a="http://schemas.openxmlformats.org/drawingml/2006/main" xmlns:pic="http://schemas.openxmlformats.org/drawingml/2006/picture">
            <wp:extent cx="5577840" cy="3651832"/>
            <wp:docPr id="25" name="Picture 25"/>
            <wp:cNvGraphicFramePr>
              <a:graphicFrameLocks noChangeAspect="1"/>
            </wp:cNvGraphicFramePr>
            <a:graphic>
              <a:graphicData uri="http://schemas.openxmlformats.org/drawingml/2006/picture">
                <pic:pic>
                  <pic:nvPicPr>
                    <pic:cNvPr id="0" name="ev_08_fabric.png"/>
                    <pic:cNvPicPr/>
                  </pic:nvPicPr>
                  <pic:blipFill>
                    <a:blip r:embed="rId33"/>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w:t>
      </w:r>
    </w:p>
    <w:p>
      <w:pPr>
        <w:pStyle w:val="Heading2"/>
        <w:spacing w:before="240"/>
      </w:pPr>
      <w:r>
        <w:rPr>
          <w:rFonts w:ascii="Calibri" w:hAnsi="Calibri"/>
          <w:b/>
          <w:color w:val="1D1D1B"/>
          <w:sz w:val="32"/>
        </w:rPr>
        <w:t>7.3  GA4 to Fabric - two valid routes, not a claimed result</w:t>
      </w:r>
    </w:p>
    <w:p>
      <w:r>
        <w:t>A GA4 NiFi builder is included, but it has no configured GA4 credential, successful extract or warehouse source table, and no report number uses GA4 data. BigQuery is not required when the Data API is used: runReport returns the aggregated dimensions and metrics needed for campaign, source/medium and landing-page reporting, and NiFi can write those results directly to OneLake. BigQuery is required for GA4 native raw-event export, which produces richer events_YYYYMMDD tables for event-parameter and session-path analysis. Either route can land in a dated bronze partition before dbt conforms campaign and date keys for Power BI. Keep user-level analytics identifiers out of the CRM join; campaign, source and date are enough for the first use case.</w:t>
      </w:r>
    </w:p>
    <w:p>
      <w:pPr>
        <w:jc w:val="center"/>
      </w:pPr>
      <w:r>
        <w:drawing>
          <wp:inline xmlns:a="http://schemas.openxmlformats.org/drawingml/2006/main" xmlns:pic="http://schemas.openxmlformats.org/drawingml/2006/picture">
            <wp:extent cx="5577840" cy="2517775"/>
            <wp:docPr id="26" name="Picture 26"/>
            <wp:cNvGraphicFramePr>
              <a:graphicFrameLocks noChangeAspect="1"/>
            </wp:cNvGraphicFramePr>
            <a:graphic>
              <a:graphicData uri="http://schemas.openxmlformats.org/drawingml/2006/picture">
                <pic:pic>
                  <pic:nvPicPr>
                    <pic:cNvPr id="0" name="ga4_to_fabric.png"/>
                    <pic:cNvPicPr/>
                  </pic:nvPicPr>
                  <pic:blipFill>
                    <a:blip r:embed="rId34"/>
                    <a:stretch>
                      <a:fillRect/>
                    </a:stretch>
                  </pic:blipFill>
                  <pic:spPr>
                    <a:xfrm>
                      <a:off x="0" y="0"/>
                      <a:ext cx="5577840" cy="2517775"/>
                    </a:xfrm>
                    <a:prstGeom prst="rect"/>
                  </pic:spPr>
                </pic:pic>
              </a:graphicData>
            </a:graphic>
          </wp:inline>
        </w:drawing>
      </w:r>
    </w:p>
    <w:p>
      <w:pPr>
        <w:jc w:val="center"/>
      </w:pPr>
      <w:r>
        <w:rPr>
          <w:i/>
          <w:color w:val="60646B"/>
          <w:sz w:val="17"/>
        </w:rPr>
        <w:t>Figure 13 - GA4 can feed the platform through the Data API without BigQuery, or through native raw-event export to BigQuery.</w:t>
      </w:r>
    </w:p>
    <w:p>
      <w:pPr>
        <w:pStyle w:val="Heading2"/>
        <w:spacing w:before="240"/>
      </w:pPr>
      <w:r>
        <w:rPr>
          <w:rFonts w:ascii="Calibri" w:hAnsi="Calibri"/>
          <w:b/>
          <w:color w:val="1D1D1B"/>
          <w:sz w:val="32"/>
        </w:rPr>
        <w:t>7.4  Screens from the org</w:t>
      </w:r>
    </w:p>
    <w:p>
      <w:pPr>
        <w:jc w:val="center"/>
      </w:pPr>
      <w:r>
        <w:drawing>
          <wp:inline xmlns:a="http://schemas.openxmlformats.org/drawingml/2006/main" xmlns:pic="http://schemas.openxmlformats.org/drawingml/2006/picture">
            <wp:extent cx="5394960" cy="3260690"/>
            <wp:docPr id="27" name="Picture 27"/>
            <wp:cNvGraphicFramePr>
              <a:graphicFrameLocks noChangeAspect="1"/>
            </wp:cNvGraphicFramePr>
            <a:graphic>
              <a:graphicData uri="http://schemas.openxmlformats.org/drawingml/2006/picture">
                <pic:pic>
                  <pic:nvPicPr>
                    <pic:cNvPr id="0" name="06_PowerBI_predictive_actions.png"/>
                    <pic:cNvPicPr/>
                  </pic:nvPicPr>
                  <pic:blipFill>
                    <a:blip r:embed="rId35"/>
                    <a:stretch>
                      <a:fillRect/>
                    </a:stretch>
                  </pic:blipFill>
                  <pic:spPr>
                    <a:xfrm>
                      <a:off x="0" y="0"/>
                      <a:ext cx="5394960" cy="3260690"/>
                    </a:xfrm>
                    <a:prstGeom prst="rect"/>
                  </pic:spPr>
                </pic:pic>
              </a:graphicData>
            </a:graphic>
          </wp:inline>
        </w:drawing>
      </w:r>
    </w:p>
    <w:p>
      <w:pPr>
        <w:jc w:val="center"/>
      </w:pPr>
      <w:r>
        <w:rPr>
          <w:i/>
          <w:color w:val="60646B"/>
          <w:sz w:val="17"/>
        </w:rPr>
        <w:t>PowerBI predictive actions</w:t>
      </w:r>
    </w:p>
    <w:p>
      <w:pPr>
        <w:pStyle w:val="Heading2"/>
        <w:spacing w:before="320"/>
      </w:pPr>
      <w:r>
        <w:rPr>
          <w:rFonts w:ascii="Calibri" w:hAnsi="Calibri"/>
          <w:b/>
          <w:color w:val="1D1D1B"/>
          <w:sz w:val="34"/>
        </w:rPr>
        <w:t>7.5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For reporting, On-campus remains On-campus and listings in the Online education section are classified as Off-campus; the source section is retained separately.</w:t>
      </w:r>
    </w:p>
    <w:p>
      <w:pPr>
        <w:pStyle w:val="ListBullet"/>
      </w:pPr>
      <w:r>
        <w:t>All people, campaign spend, application outcomes and student results are synthetic. Progress dated after the capture date is an illustrative scenario, not a forecast.</w:t>
      </w:r>
    </w:p>
    <w:p>
      <w:pPr>
        <w:pStyle w:val="ListBullet"/>
      </w:pPr>
      <w:r>
        <w:t>DuckDB is fully validated. Fabric bronze loading and dbt connectivity are verified, but the Fabric silver and gold build has documented DuckDB-to-T-SQL compatibility errors. No downstream Fabric transformation result is claimed until those are corrected and rerun.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fif"/><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