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pPr>
      <w:r>
        <w:rPr>
          <w:b/>
          <w:color w:val="E03127"/>
          <w:sz w:val="80"/>
        </w:rPr>
        <w:t>Red &amp; Yellow</w:t>
      </w:r>
    </w:p>
    <w:p>
      <w:r>
        <w:rPr>
          <w:color w:val="22252A"/>
          <w:sz w:val="34"/>
        </w:rPr>
        <w:t>From marketing spend to student outcomes</w:t>
      </w:r>
    </w:p>
    <w:p>
      <w:r>
        <w:rPr>
          <w:color w:val="5A6472"/>
          <w:sz w:val="23"/>
        </w:rPr>
        <w:t>A CRM analytics platform built on Salesforce, Apache NiFi, dbt, Microsoft Fabric and Power BI</w:t>
      </w:r>
    </w:p>
    <w:p>
      <w:r>
        <w:rPr>
          <w:color w:val="5A6472"/>
          <w:sz w:val="20"/>
        </w:rPr>
        <w:br/>
        <w:t>08 September 2026   ·   Anthony Apollis</w:t>
      </w:r>
    </w:p>
    <w:p>
      <w:r>
        <w:rPr>
          <w:i/>
          <w:color w:val="5A6472"/>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pPr>
        <w:spacing w:before="0"/>
      </w:pPr>
      <w:r>
        <w:rPr>
          <w:b/>
          <w:color w:val="E03127"/>
          <w:sz w:val="40"/>
        </w:rPr>
        <w:t>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2,638,726 people and 9.4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spacing w:before="320"/>
      </w:pPr>
      <w:r>
        <w:rPr>
          <w:b/>
          <w:color w:val="22252A"/>
          <w:sz w:val="34"/>
        </w:rPr>
        <w:t>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1,110,674 (from 1,138,726 records)</w:t>
            </w:r>
          </w:p>
        </w:tc>
      </w:tr>
      <w:tr>
        <w:tc>
          <w:tcPr>
            <w:tcW w:type="dxa" w:w="4320"/>
          </w:tcPr>
          <w:p>
            <w:r>
              <w:t>Opportunities in the admissions pipeline</w:t>
            </w:r>
          </w:p>
        </w:tc>
        <w:tc>
          <w:tcPr>
            <w:tcW w:type="dxa" w:w="4320"/>
          </w:tcPr>
          <w:p>
            <w:r>
              <w:t>706,010</w:t>
            </w:r>
          </w:p>
        </w:tc>
      </w:tr>
      <w:tr>
        <w:tc>
          <w:tcPr>
            <w:tcW w:type="dxa" w:w="4320"/>
          </w:tcPr>
          <w:p>
            <w:r>
              <w:t>Applications submitted</w:t>
            </w:r>
          </w:p>
        </w:tc>
        <w:tc>
          <w:tcPr>
            <w:tcW w:type="dxa" w:w="4320"/>
          </w:tcPr>
          <w:p>
            <w:r>
              <w:t>494,352</w:t>
            </w:r>
          </w:p>
        </w:tc>
      </w:tr>
      <w:tr>
        <w:tc>
          <w:tcPr>
            <w:tcW w:type="dxa" w:w="4320"/>
          </w:tcPr>
          <w:p>
            <w:r>
              <w:t>Enrolments</w:t>
            </w:r>
          </w:p>
        </w:tc>
        <w:tc>
          <w:tcPr>
            <w:tcW w:type="dxa" w:w="4320"/>
          </w:tcPr>
          <w:p>
            <w:r>
              <w:t>168,157</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R1,302.9m</w:t>
            </w:r>
          </w:p>
        </w:tc>
      </w:tr>
      <w:tr>
        <w:tc>
          <w:tcPr>
            <w:tcW w:type="dxa" w:w="4320"/>
          </w:tcPr>
          <w:p>
            <w:r>
              <w:t>Data quality issues detected</w:t>
            </w:r>
          </w:p>
        </w:tc>
        <w:tc>
          <w:tcPr>
            <w:tcW w:type="dxa" w:w="4320"/>
          </w:tcPr>
          <w:p>
            <w:r>
              <w:t>287,637</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1" name="Picture 1"/>
            <wp:cNvGraphicFramePr>
              <a:graphicFrameLocks noChangeAspect="1"/>
            </wp:cNvGraphicFramePr>
            <a:graphic>
              <a:graphicData uri="http://schemas.openxmlformats.org/drawingml/2006/picture">
                <pic:pic>
                  <pic:nvPicPr>
                    <pic:cNvPr id="0" name="funnel.png"/>
                    <pic:cNvPicPr/>
                  </pic:nvPicPr>
                  <pic:blipFill>
                    <a:blip r:embed="rId9"/>
                    <a:stretch>
                      <a:fillRect/>
                    </a:stretch>
                  </pic:blipFill>
                  <pic:spPr>
                    <a:xfrm>
                      <a:off x="0" y="0"/>
                      <a:ext cx="5577840" cy="2614612"/>
                    </a:xfrm>
                    <a:prstGeom prst="rect"/>
                  </pic:spPr>
                </pic:pic>
              </a:graphicData>
            </a:graphic>
          </wp:inline>
        </w:drawing>
      </w:r>
    </w:p>
    <w:p>
      <w:pPr>
        <w:jc w:val="center"/>
      </w:pPr>
      <w:r>
        <w:rPr>
          <w:i/>
          <w:color w:val="5A6472"/>
          <w:sz w:val="17"/>
        </w:rPr>
        <w:t>Figure 1 - The funnel by stage. Leads and contacts overlap, so the step between them is not attrition.</w:t>
      </w:r>
    </w:p>
    <w:p>
      <w:pPr>
        <w:spacing w:before="320"/>
      </w:pPr>
      <w:r>
        <w:rPr>
          <w:b/>
          <w:color w:val="22252A"/>
          <w:sz w:val="34"/>
        </w:rPr>
        <w:t>Where the marketing money goes</w:t>
      </w:r>
    </w:p>
    <w:p>
      <w:r>
        <w:t>Cost per enrolment sits between R3,399 and R5,129 across channels, on a return of 1.6x to 2.3x. Career expo returns the most per rand at 2.29x; Print the least at 1.55x.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2" name="Picture 2"/>
            <wp:cNvGraphicFramePr>
              <a:graphicFrameLocks noChangeAspect="1"/>
            </wp:cNvGraphicFramePr>
            <a:graphic>
              <a:graphicData uri="http://schemas.openxmlformats.org/drawingml/2006/picture">
                <pic:pic>
                  <pic:nvPicPr>
                    <pic:cNvPr id="0" name="cpe.png"/>
                    <pic:cNvPicPr/>
                  </pic:nvPicPr>
                  <pic:blipFill>
                    <a:blip r:embed="rId10"/>
                    <a:stretch>
                      <a:fillRect/>
                    </a:stretch>
                  </pic:blipFill>
                  <pic:spPr>
                    <a:xfrm>
                      <a:off x="0" y="0"/>
                      <a:ext cx="5577840" cy="2614612"/>
                    </a:xfrm>
                    <a:prstGeom prst="rect"/>
                  </pic:spPr>
                </pic:pic>
              </a:graphicData>
            </a:graphic>
          </wp:inline>
        </w:drawing>
      </w:r>
    </w:p>
    <w:p>
      <w:pPr>
        <w:jc w:val="center"/>
      </w:pPr>
      <w:r>
        <w:rPr>
          <w:i/>
          <w:color w:val="5A6472"/>
          <w:sz w:val="17"/>
        </w:rPr>
        <w:t>Figure 2 - Cost per enrolment by channel.</w:t>
      </w:r>
    </w:p>
    <w:p>
      <w:pPr>
        <w:spacing w:before="320"/>
      </w:pPr>
      <w:r>
        <w:rPr>
          <w:b/>
          <w:color w:val="22252A"/>
          <w:sz w:val="34"/>
        </w:rPr>
        <w:t>Student success as an early warning</w:t>
      </w:r>
    </w:p>
    <w:p>
      <w:r>
        <w:t>Attendance opens at 83% and decays to 68% by week 19. The proportion of students meeting the at-risk definition - attendance under 55%, or assessment average under 50%, or three or more overdue assignments - moves from 7% to 28%.</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3" name="Picture 3"/>
            <wp:cNvGraphicFramePr>
              <a:graphicFrameLocks noChangeAspect="1"/>
            </wp:cNvGraphicFramePr>
            <a:graphic>
              <a:graphicData uri="http://schemas.openxmlformats.org/drawingml/2006/picture">
                <pic:pic>
                  <pic:nvPicPr>
                    <pic:cNvPr id="0" name="risk.png"/>
                    <pic:cNvPicPr/>
                  </pic:nvPicPr>
                  <pic:blipFill>
                    <a:blip r:embed="rId11"/>
                    <a:stretch>
                      <a:fillRect/>
                    </a:stretch>
                  </pic:blipFill>
                  <pic:spPr>
                    <a:xfrm>
                      <a:off x="0" y="0"/>
                      <a:ext cx="5577840" cy="2614612"/>
                    </a:xfrm>
                    <a:prstGeom prst="rect"/>
                  </pic:spPr>
                </pic:pic>
              </a:graphicData>
            </a:graphic>
          </wp:inline>
        </w:drawing>
      </w:r>
    </w:p>
    <w:p>
      <w:pPr>
        <w:jc w:val="center"/>
      </w:pPr>
      <w:r>
        <w:rPr>
          <w:i/>
          <w:color w:val="5A6472"/>
          <w:sz w:val="17"/>
        </w:rPr>
        <w:t>Figure 3 - Academic health across the study weeks.</w:t>
      </w:r>
    </w:p>
    <w:p>
      <w:pPr>
        <w:spacing w:before="320"/>
      </w:pPr>
      <w:r>
        <w:rPr>
          <w:b/>
          <w:color w:val="22252A"/>
          <w:sz w:val="34"/>
        </w:rPr>
        <w:t>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2,891,329 injected defects the pipeline detects 287,637 issues. De-duplication recovers 0.97 of the duplicates that were planted.</w:t>
      </w:r>
    </w:p>
    <w:p>
      <w:pPr>
        <w:spacing w:before="240"/>
      </w:pPr>
      <w:r>
        <w:rPr>
          <w:b/>
          <w:color w:val="22252A"/>
          <w:sz w:val="26"/>
        </w:rPr>
        <w:t>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4" name="Picture 4"/>
            <wp:cNvGraphicFramePr>
              <a:graphicFrameLocks noChangeAspect="1"/>
            </wp:cNvGraphicFramePr>
            <a:graphic>
              <a:graphicData uri="http://schemas.openxmlformats.org/drawingml/2006/picture">
                <pic:pic>
                  <pic:nvPicPr>
                    <pic:cNvPr id="0" name="dq.png"/>
                    <pic:cNvPicPr/>
                  </pic:nvPicPr>
                  <pic:blipFill>
                    <a:blip r:embed="rId12"/>
                    <a:stretch>
                      <a:fillRect/>
                    </a:stretch>
                  </pic:blipFill>
                  <pic:spPr>
                    <a:xfrm>
                      <a:off x="0" y="0"/>
                      <a:ext cx="5577840" cy="2963228"/>
                    </a:xfrm>
                    <a:prstGeom prst="rect"/>
                  </pic:spPr>
                </pic:pic>
              </a:graphicData>
            </a:graphic>
          </wp:inline>
        </w:drawing>
      </w:r>
    </w:p>
    <w:p>
      <w:pPr>
        <w:jc w:val="center"/>
      </w:pPr>
      <w:r>
        <w:rPr>
          <w:i/>
          <w:color w:val="5A6472"/>
          <w:sz w:val="17"/>
        </w:rPr>
        <w:t>Figure 4 - Detected issues by type.</w:t>
      </w:r>
    </w:p>
    <w:p>
      <w:pPr>
        <w:spacing w:before="320"/>
      </w:pPr>
      <w:r>
        <w:rPr>
          <w:b/>
          <w:color w:val="22252A"/>
          <w:sz w:val="34"/>
        </w:rPr>
        <w:t>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spacing w:before="320"/>
      </w:pPr>
      <w:r>
        <w:rPr>
          <w:b/>
          <w:color w:val="22252A"/>
          <w:sz w:val="34"/>
        </w:rPr>
        <w:t>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spacing w:before="320"/>
      </w:pPr>
      <w:r>
        <w:rPr>
          <w:b/>
          <w:color w:val="22252A"/>
          <w:sz w:val="34"/>
        </w:rPr>
        <w:t>The pipeline, end to end</w:t>
      </w:r>
    </w:p>
    <w:p>
      <w:pPr>
        <w:pStyle w:val="ListBullet"/>
      </w:pPr>
      <w:r>
        <w:rPr>
          <w:b/>
          <w:color w:val="E03127"/>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E03127"/>
        </w:rPr>
        <w:t xml:space="preserve">Land. </w:t>
      </w:r>
      <w:r>
        <w:t>Records are batched and written to the OneLake bronze layer, partitioned by object and ingest date. Failures retry three times before parking.</w:t>
      </w:r>
    </w:p>
    <w:p>
      <w:pPr>
        <w:pStyle w:val="ListBullet"/>
      </w:pPr>
      <w:r>
        <w:rPr>
          <w:b/>
          <w:color w:val="E03127"/>
        </w:rPr>
        <w:t xml:space="preserve">Transform. </w:t>
      </w:r>
      <w:r>
        <w:t>dbt cleanses once in staging - email validation, E.164 phone normalisation, province collapsing, entity resolution - then builds marts that assume clean inputs.</w:t>
      </w:r>
    </w:p>
    <w:p>
      <w:pPr>
        <w:pStyle w:val="ListBullet"/>
      </w:pPr>
      <w:r>
        <w:rPr>
          <w:b/>
          <w:color w:val="E03127"/>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E03127"/>
        </w:rPr>
        <w:t xml:space="preserve">Document. </w:t>
      </w:r>
      <w:r>
        <w:t>dbt docs generate produces the searchable catalogue with column-level lineage, so documentation is a build artefact rather than a wiki page that drifts.</w:t>
      </w:r>
    </w:p>
    <w:p>
      <w:pPr>
        <w:pStyle w:val="ListBullet"/>
      </w:pPr>
      <w:r>
        <w:rPr>
          <w:b/>
          <w:color w:val="E03127"/>
        </w:rPr>
        <w:t xml:space="preserve">Report. </w:t>
      </w:r>
      <w:r>
        <w:t>Power BI reads the curated marts. Every measure resolves to a tested model, not to a query written in the report.</w:t>
      </w:r>
    </w:p>
    <w:p>
      <w:pPr>
        <w:spacing w:before="320"/>
      </w:pPr>
      <w:r>
        <w:rPr>
          <w:b/>
          <w:color w:val="22252A"/>
          <w:sz w:val="34"/>
        </w:rPr>
        <w:t>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and page section alone was not treated as proof of delivery mode.</w:t>
      </w:r>
    </w:p>
    <w:p>
      <w:pPr>
        <w:pStyle w:val="ListBullet"/>
      </w:pPr>
      <w:r>
        <w:t>All people, campaign spend, application outcomes and student results are synthetic. Progress dated after the capture date is an illustrative scenario, not a forecast.</w:t>
      </w:r>
    </w:p>
    <w:p>
      <w:pPr>
        <w:pStyle w:val="ListBullet"/>
      </w:pPr>
      <w:r>
        <w:t>The pipeline has been validated locally against DuckDB and a live NiFi instance. Deployment to a Salesforce org and a Fabric workspace requires credentials that are deliberately absent from this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