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E03127"/>
          <w:sz w:val="80"/>
        </w:rPr>
        <w:t>Red &amp; Yellow</w:t>
      </w:r>
    </w:p>
    <w:p>
      <w:r>
        <w:rPr>
          <w:color w:val="22252A"/>
          <w:sz w:val="34"/>
        </w:rPr>
        <w:t>From marketing spend to student outcomes</w:t>
      </w:r>
    </w:p>
    <w:p>
      <w:r>
        <w:rPr>
          <w:color w:val="5A6472"/>
          <w:sz w:val="23"/>
        </w:rPr>
        <w:t>A CRM analytics platform built on Salesforce, Apache NiFi, dbt, Microsoft Fabric and Power BI</w:t>
      </w:r>
    </w:p>
    <w:p>
      <w:r>
        <w:rPr>
          <w:color w:val="5A6472"/>
          <w:sz w:val="20"/>
        </w:rPr>
        <w:br/>
        <w:t>09 September 2026   ·   Anthony Apollis</w:t>
      </w:r>
    </w:p>
    <w:p>
      <w:r>
        <w:rPr>
          <w:i/>
          <w:color w:val="5A6472"/>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E03127"/>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E03127"/>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22252A"/>
          <w:sz w:val="32"/>
        </w:rPr>
        <w:t>1.1  How to read it</w:t>
      </w:r>
    </w:p>
    <w:p>
      <w:pPr>
        <w:pStyle w:val="ListBullet"/>
      </w:pPr>
      <w:r>
        <w:rPr>
          <w:b/>
          <w:color w:val="E03127"/>
        </w:rPr>
        <w:t xml:space="preserve">The numbers first. </w:t>
      </w:r>
      <w:r>
        <w:t>Chapter 2 sets out what was built and how much of it there is.</w:t>
      </w:r>
    </w:p>
    <w:p>
      <w:pPr>
        <w:pStyle w:val="ListBullet"/>
      </w:pPr>
      <w:r>
        <w:rPr>
          <w:b/>
          <w:color w:val="E03127"/>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E03127"/>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E03127"/>
        </w:rPr>
        <w:t xml:space="preserve">Finally the limits. </w:t>
      </w:r>
      <w:r>
        <w:t>The last chapter is what this work does not claim.</w:t>
      </w:r>
    </w:p>
    <w:p/>
    <w:p>
      <w:r>
        <w:rPr>
          <w:i/>
          <w:color w:val="5A6472"/>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E03127"/>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9.4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1780162"/>
            <wp:docPr id="1" name="Picture 1"/>
            <wp:cNvGraphicFramePr>
              <a:graphicFrameLocks noChangeAspect="1"/>
            </wp:cNvGraphicFramePr>
            <a:graphic>
              <a:graphicData uri="http://schemas.openxmlformats.org/drawingml/2006/picture">
                <pic:pic>
                  <pic:nvPicPr>
                    <pic:cNvPr id="0" name="ev_00_architecture.png"/>
                    <pic:cNvPicPr/>
                  </pic:nvPicPr>
                  <pic:blipFill>
                    <a:blip r:embed="rId9"/>
                    <a:stretch>
                      <a:fillRect/>
                    </a:stretch>
                  </pic:blipFill>
                  <pic:spPr>
                    <a:xfrm>
                      <a:off x="0" y="0"/>
                      <a:ext cx="5577840" cy="1780162"/>
                    </a:xfrm>
                    <a:prstGeom prst="rect"/>
                  </pic:spPr>
                </pic:pic>
              </a:graphicData>
            </a:graphic>
          </wp:inline>
        </w:drawing>
      </w:r>
    </w:p>
    <w:p>
      <w:pPr>
        <w:jc w:val="center"/>
      </w:pPr>
      <w:r>
        <w:rPr>
          <w:i/>
          <w:color w:val="5A6472"/>
          <w:sz w:val="17"/>
        </w:rPr>
        <w:t>Figure 0 - The pipeline end to end. Each stage is a separate, runnable component; nothing here is a diagram of an intention.</w:t>
      </w:r>
    </w:p>
    <w:p>
      <w:pPr>
        <w:pStyle w:val="Heading2"/>
        <w:spacing w:before="320"/>
      </w:pPr>
      <w:r>
        <w:rPr>
          <w:rFonts w:ascii="Calibri" w:hAnsi="Calibri"/>
          <w:b/>
          <w:color w:val="22252A"/>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328,036</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funnel.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5A6472"/>
          <w:sz w:val="17"/>
        </w:rPr>
        <w:t>Figure 1 - The funnel by stage. Leads and contacts overlap, so the step between them is not attrition.</w:t>
      </w:r>
    </w:p>
    <w:p>
      <w:pPr>
        <w:pStyle w:val="Heading2"/>
        <w:spacing w:before="320"/>
      </w:pPr>
      <w:r>
        <w:rPr>
          <w:rFonts w:ascii="Calibri" w:hAnsi="Calibri"/>
          <w:b/>
          <w:color w:val="22252A"/>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cpe.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5A6472"/>
          <w:sz w:val="17"/>
        </w:rPr>
        <w:t>Figure 2 - Cost per enrolment by channel.</w:t>
      </w:r>
    </w:p>
    <w:p>
      <w:pPr>
        <w:pStyle w:val="Heading2"/>
        <w:spacing w:before="320"/>
      </w:pPr>
      <w:r>
        <w:rPr>
          <w:rFonts w:ascii="Calibri" w:hAnsi="Calibri"/>
          <w:b/>
          <w:color w:val="22252A"/>
          <w:sz w:val="34"/>
        </w:rPr>
        <w:t>2.3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risk.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5A6472"/>
          <w:sz w:val="17"/>
        </w:rPr>
        <w:t>Figure 3 - Academic health across the study weeks.</w:t>
      </w:r>
    </w:p>
    <w:p>
      <w:pPr>
        <w:pStyle w:val="Heading2"/>
        <w:spacing w:before="320"/>
      </w:pPr>
      <w:r>
        <w:rPr>
          <w:rFonts w:ascii="Calibri" w:hAnsi="Calibri"/>
          <w:b/>
          <w:color w:val="22252A"/>
          <w:sz w:val="34"/>
        </w:rPr>
        <w:t>2.4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328,036 issues. De-duplication recovers 0.97 of the duplicates that were planted.</w:t>
      </w:r>
    </w:p>
    <w:p>
      <w:pPr>
        <w:pStyle w:val="Heading3"/>
        <w:spacing w:before="240"/>
      </w:pPr>
      <w:r>
        <w:rPr>
          <w:rFonts w:ascii="Calibri" w:hAnsi="Calibri"/>
          <w:b/>
          <w:color w:val="22252A"/>
          <w:sz w:val="26"/>
        </w:rPr>
        <w:t>2.4.1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5" name="Picture 5"/>
            <wp:cNvGraphicFramePr>
              <a:graphicFrameLocks noChangeAspect="1"/>
            </wp:cNvGraphicFramePr>
            <a:graphic>
              <a:graphicData uri="http://schemas.openxmlformats.org/drawingml/2006/picture">
                <pic:pic>
                  <pic:nvPicPr>
                    <pic:cNvPr id="0" name="dq.png"/>
                    <pic:cNvPicPr/>
                  </pic:nvPicPr>
                  <pic:blipFill>
                    <a:blip r:embed="rId13"/>
                    <a:stretch>
                      <a:fillRect/>
                    </a:stretch>
                  </pic:blipFill>
                  <pic:spPr>
                    <a:xfrm>
                      <a:off x="0" y="0"/>
                      <a:ext cx="5577840" cy="2963228"/>
                    </a:xfrm>
                    <a:prstGeom prst="rect"/>
                  </pic:spPr>
                </pic:pic>
              </a:graphicData>
            </a:graphic>
          </wp:inline>
        </w:drawing>
      </w:r>
    </w:p>
    <w:p>
      <w:pPr>
        <w:jc w:val="center"/>
      </w:pPr>
      <w:r>
        <w:rPr>
          <w:i/>
          <w:color w:val="5A6472"/>
          <w:sz w:val="17"/>
        </w:rPr>
        <w:t>Figure 4 - Detected issues by type.</w:t>
      </w:r>
    </w:p>
    <w:p>
      <w:pPr>
        <w:pStyle w:val="Heading2"/>
        <w:spacing w:before="320"/>
      </w:pPr>
      <w:r>
        <w:rPr>
          <w:rFonts w:ascii="Calibri" w:hAnsi="Calibri"/>
          <w:b/>
          <w:color w:val="22252A"/>
          <w:sz w:val="34"/>
        </w:rPr>
        <w:t>2.5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prog_demand.png"/>
                    <pic:cNvPicPr/>
                  </pic:nvPicPr>
                  <pic:blipFill>
                    <a:blip r:embed="rId14"/>
                    <a:stretch>
                      <a:fillRect/>
                    </a:stretch>
                  </pic:blipFill>
                  <pic:spPr>
                    <a:xfrm>
                      <a:off x="0" y="0"/>
                      <a:ext cx="5577840" cy="3137535"/>
                    </a:xfrm>
                    <a:prstGeom prst="rect"/>
                  </pic:spPr>
                </pic:pic>
              </a:graphicData>
            </a:graphic>
          </wp:inline>
        </w:drawing>
      </w:r>
    </w:p>
    <w:p>
      <w:pPr>
        <w:jc w:val="center"/>
      </w:pPr>
      <w:r>
        <w:rPr>
          <w:i/>
          <w:color w:val="5A6472"/>
          <w:sz w:val="17"/>
        </w:rPr>
        <w:t>Figure 4a - Top programmes by enrolment, with average discount.</w:t>
      </w:r>
    </w:p>
    <w:p>
      <w:pPr>
        <w:pStyle w:val="Heading3"/>
        <w:spacing w:before="240"/>
      </w:pPr>
      <w:r>
        <w:rPr>
          <w:rFonts w:ascii="Calibri" w:hAnsi="Calibri"/>
          <w:b/>
          <w:color w:val="22252A"/>
          <w:sz w:val="26"/>
        </w:rPr>
        <w:t>2.5.1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7" name="Picture 7"/>
            <wp:cNvGraphicFramePr>
              <a:graphicFrameLocks noChangeAspect="1"/>
            </wp:cNvGraphicFramePr>
            <a:graphic>
              <a:graphicData uri="http://schemas.openxmlformats.org/drawingml/2006/picture">
                <pic:pic>
                  <pic:nvPicPr>
                    <pic:cNvPr id="0" name="province.png"/>
                    <pic:cNvPicPr/>
                  </pic:nvPicPr>
                  <pic:blipFill>
                    <a:blip r:embed="rId15"/>
                    <a:stretch>
                      <a:fillRect/>
                    </a:stretch>
                  </pic:blipFill>
                  <pic:spPr>
                    <a:xfrm>
                      <a:off x="0" y="0"/>
                      <a:ext cx="5577840" cy="2527459"/>
                    </a:xfrm>
                    <a:prstGeom prst="rect"/>
                  </pic:spPr>
                </pic:pic>
              </a:graphicData>
            </a:graphic>
          </wp:inline>
        </w:drawing>
      </w:r>
    </w:p>
    <w:p>
      <w:pPr>
        <w:jc w:val="center"/>
      </w:pPr>
      <w:r>
        <w:rPr>
          <w:i/>
          <w:color w:val="5A6472"/>
          <w:sz w:val="17"/>
        </w:rPr>
        <w:t>Figure 4b - Enrolments by province, after the spelling variants are collapsed to the nine official names.</w:t>
      </w:r>
    </w:p>
    <w:p>
      <w:pPr>
        <w:pStyle w:val="Heading3"/>
        <w:spacing w:before="240"/>
      </w:pPr>
      <w:r>
        <w:rPr>
          <w:rFonts w:ascii="Calibri" w:hAnsi="Calibri"/>
          <w:b/>
          <w:color w:val="22252A"/>
          <w:sz w:val="26"/>
        </w:rPr>
        <w:t>2.5.2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8" name="Picture 8"/>
            <wp:cNvGraphicFramePr>
              <a:graphicFrameLocks noChangeAspect="1"/>
            </wp:cNvGraphicFramePr>
            <a:graphic>
              <a:graphicData uri="http://schemas.openxmlformats.org/drawingml/2006/picture">
                <pic:pic>
                  <pic:nvPicPr>
                    <pic:cNvPr id="0" name="conversion.png"/>
                    <pic:cNvPicPr/>
                  </pic:nvPicPr>
                  <pic:blipFill>
                    <a:blip r:embed="rId16"/>
                    <a:stretch>
                      <a:fillRect/>
                    </a:stretch>
                  </pic:blipFill>
                  <pic:spPr>
                    <a:xfrm>
                      <a:off x="0" y="0"/>
                      <a:ext cx="5577840" cy="2265998"/>
                    </a:xfrm>
                    <a:prstGeom prst="rect"/>
                  </pic:spPr>
                </pic:pic>
              </a:graphicData>
            </a:graphic>
          </wp:inline>
        </w:drawing>
      </w:r>
    </w:p>
    <w:p>
      <w:pPr>
        <w:jc w:val="center"/>
      </w:pPr>
      <w:r>
        <w:rPr>
          <w:i/>
          <w:color w:val="5A6472"/>
          <w:sz w:val="17"/>
        </w:rPr>
        <w:t>Figure 4c - Stage-to-stage conversion through the admissions pipeline.</w:t>
      </w:r>
    </w:p>
    <w:p>
      <w:pPr>
        <w:pStyle w:val="Heading2"/>
        <w:spacing w:before="320"/>
      </w:pPr>
      <w:r>
        <w:rPr>
          <w:rFonts w:ascii="Calibri" w:hAnsi="Calibri"/>
          <w:b/>
          <w:color w:val="22252A"/>
          <w:sz w:val="34"/>
        </w:rPr>
        <w:t>2.6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22252A"/>
          <w:sz w:val="34"/>
        </w:rPr>
        <w:t>2.7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22252A"/>
          <w:sz w:val="34"/>
        </w:rPr>
        <w:t>2.8  The pipeline, end to end</w:t>
      </w:r>
    </w:p>
    <w:p>
      <w:pPr>
        <w:pStyle w:val="ListBullet"/>
      </w:pPr>
      <w:r>
        <w:rPr>
          <w:b/>
          <w:color w:val="E03127"/>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E03127"/>
        </w:rPr>
        <w:t xml:space="preserve">Land. </w:t>
      </w:r>
      <w:r>
        <w:t>Records are batched and written to the OneLake bronze layer, partitioned by object and ingest date. Failures retry three times before parking.</w:t>
      </w:r>
    </w:p>
    <w:p>
      <w:pPr>
        <w:pStyle w:val="ListBullet"/>
      </w:pPr>
      <w:r>
        <w:rPr>
          <w:b/>
          <w:color w:val="E03127"/>
        </w:rPr>
        <w:t xml:space="preserve">Transform. </w:t>
      </w:r>
      <w:r>
        <w:t>dbt cleanses once in staging - email validation, E.164 phone normalisation, province collapsing, entity resolution - then builds marts that assume clean inputs.</w:t>
      </w:r>
    </w:p>
    <w:p>
      <w:pPr>
        <w:pStyle w:val="ListBullet"/>
      </w:pPr>
      <w:r>
        <w:rPr>
          <w:b/>
          <w:color w:val="E03127"/>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E03127"/>
        </w:rPr>
        <w:t xml:space="preserve">Document. </w:t>
      </w:r>
      <w:r>
        <w:t>dbt docs generate produces the searchable catalogue with column-level lineage, so documentation is a build artefact rather than a wiki page that drifts.</w:t>
      </w:r>
    </w:p>
    <w:p>
      <w:pPr>
        <w:pStyle w:val="ListBullet"/>
      </w:pPr>
      <w:r>
        <w:rPr>
          <w:b/>
          <w:color w:val="E03127"/>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E03127"/>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3"/>
        <w:spacing w:before="280"/>
      </w:pPr>
      <w:r>
        <w:rPr>
          <w:rFonts w:ascii="Calibri" w:hAnsi="Calibri"/>
          <w:b/>
          <w:color w:val="22252A"/>
          <w:sz w:val="26"/>
        </w:rPr>
        <w:t>3.0.1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9" name="Picture 9"/>
            <wp:cNvGraphicFramePr>
              <a:graphicFrameLocks noChangeAspect="1"/>
            </wp:cNvGraphicFramePr>
            <a:graphic>
              <a:graphicData uri="http://schemas.openxmlformats.org/drawingml/2006/picture">
                <pic:pic>
                  <pic:nvPicPr>
                    <pic:cNvPr id="0" name="ev_01_org_check.png"/>
                    <pic:cNvPicPr/>
                  </pic:nvPicPr>
                  <pic:blipFill>
                    <a:blip r:embed="rId17"/>
                    <a:stretch>
                      <a:fillRect/>
                    </a:stretch>
                  </pic:blipFill>
                  <pic:spPr>
                    <a:xfrm>
                      <a:off x="0" y="0"/>
                      <a:ext cx="5577840" cy="3078579"/>
                    </a:xfrm>
                    <a:prstGeom prst="rect"/>
                  </pic:spPr>
                </pic:pic>
              </a:graphicData>
            </a:graphic>
          </wp:inline>
        </w:drawing>
      </w:r>
    </w:p>
    <w:p>
      <w:pPr>
        <w:jc w:val="center"/>
      </w:pPr>
      <w:r>
        <w:rPr>
          <w:i/>
          <w:color w:val="5A6472"/>
          <w:sz w:val="17"/>
        </w:rPr>
        <w:t>Figure 5 - The org capability check. Base Edition, 10.6 GB free, and a NO-GO on custom objects.</w:t>
      </w:r>
    </w:p>
    <w:p>
      <w:pPr>
        <w:pStyle w:val="Heading3"/>
        <w:spacing w:before="240"/>
      </w:pPr>
      <w:r>
        <w:rPr>
          <w:rFonts w:ascii="Calibri" w:hAnsi="Calibri"/>
          <w:b/>
          <w:color w:val="22252A"/>
          <w:sz w:val="26"/>
        </w:rPr>
        <w:t>3.0.2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0" name="Picture 10"/>
            <wp:cNvGraphicFramePr>
              <a:graphicFrameLocks noChangeAspect="1"/>
            </wp:cNvGraphicFramePr>
            <a:graphic>
              <a:graphicData uri="http://schemas.openxmlformats.org/drawingml/2006/picture">
                <pic:pic>
                  <pic:nvPicPr>
                    <pic:cNvPr id="0" name="ev_02_metadata_validate.png"/>
                    <pic:cNvPicPr/>
                  </pic:nvPicPr>
                  <pic:blipFill>
                    <a:blip r:embed="rId18"/>
                    <a:stretch>
                      <a:fillRect/>
                    </a:stretch>
                  </pic:blipFill>
                  <pic:spPr>
                    <a:xfrm>
                      <a:off x="0" y="0"/>
                      <a:ext cx="5577840" cy="2939058"/>
                    </a:xfrm>
                    <a:prstGeom prst="rect"/>
                  </pic:spPr>
                </pic:pic>
              </a:graphicData>
            </a:graphic>
          </wp:inline>
        </w:drawing>
      </w:r>
    </w:p>
    <w:p>
      <w:pPr>
        <w:jc w:val="center"/>
      </w:pPr>
      <w:r>
        <w:rPr>
          <w:i/>
          <w:color w:val="5A6472"/>
          <w:sz w:val="17"/>
        </w:rPr>
        <w:t>Figure 6 - Metadata validated against the org. 18 of 18 components.</w:t>
      </w:r>
    </w:p>
    <w:p>
      <w:pPr>
        <w:pStyle w:val="Heading3"/>
        <w:spacing w:before="240"/>
      </w:pPr>
      <w:r>
        <w:rPr>
          <w:rFonts w:ascii="Calibri" w:hAnsi="Calibri"/>
          <w:b/>
          <w:color w:val="22252A"/>
          <w:sz w:val="26"/>
        </w:rPr>
        <w:t>3.0.3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1" name="Picture 11"/>
            <wp:cNvGraphicFramePr>
              <a:graphicFrameLocks noChangeAspect="1"/>
            </wp:cNvGraphicFramePr>
            <a:graphic>
              <a:graphicData uri="http://schemas.openxmlformats.org/drawingml/2006/picture">
                <pic:pic>
                  <pic:nvPicPr>
                    <pic:cNvPr id="0" name="ev_03_import_result.png"/>
                    <pic:cNvPicPr/>
                  </pic:nvPicPr>
                  <pic:blipFill>
                    <a:blip r:embed="rId19"/>
                    <a:stretch>
                      <a:fillRect/>
                    </a:stretch>
                  </pic:blipFill>
                  <pic:spPr>
                    <a:xfrm>
                      <a:off x="0" y="0"/>
                      <a:ext cx="5577840" cy="2368838"/>
                    </a:xfrm>
                    <a:prstGeom prst="rect"/>
                  </pic:spPr>
                </pic:pic>
              </a:graphicData>
            </a:graphic>
          </wp:inline>
        </w:drawing>
      </w:r>
    </w:p>
    <w:p>
      <w:pPr>
        <w:jc w:val="center"/>
      </w:pPr>
      <w:r>
        <w:rPr>
          <w:i/>
          <w:color w:val="5A6472"/>
          <w:sz w:val="17"/>
        </w:rPr>
        <w:t>Figure 7 - What the loader wrote.</w:t>
      </w:r>
    </w:p>
    <w:p>
      <w:pPr>
        <w:jc w:val="center"/>
      </w:pPr>
      <w:r>
        <w:drawing>
          <wp:inline xmlns:a="http://schemas.openxmlformats.org/drawingml/2006/main" xmlns:pic="http://schemas.openxmlformats.org/drawingml/2006/picture">
            <wp:extent cx="5577840" cy="2939058"/>
            <wp:docPr id="12" name="Picture 12"/>
            <wp:cNvGraphicFramePr>
              <a:graphicFrameLocks noChangeAspect="1"/>
            </wp:cNvGraphicFramePr>
            <a:graphic>
              <a:graphicData uri="http://schemas.openxmlformats.org/drawingml/2006/picture">
                <pic:pic>
                  <pic:nvPicPr>
                    <pic:cNvPr id="0" name="ev_04_org_counts.png"/>
                    <pic:cNvPicPr/>
                  </pic:nvPicPr>
                  <pic:blipFill>
                    <a:blip r:embed="rId20"/>
                    <a:stretch>
                      <a:fillRect/>
                    </a:stretch>
                  </pic:blipFill>
                  <pic:spPr>
                    <a:xfrm>
                      <a:off x="0" y="0"/>
                      <a:ext cx="5577840" cy="2939058"/>
                    </a:xfrm>
                    <a:prstGeom prst="rect"/>
                  </pic:spPr>
                </pic:pic>
              </a:graphicData>
            </a:graphic>
          </wp:inline>
        </w:drawing>
      </w:r>
    </w:p>
    <w:p>
      <w:pPr>
        <w:jc w:val="center"/>
      </w:pPr>
      <w:r>
        <w:rPr>
          <w:i/>
          <w:color w:val="5A6472"/>
          <w:sz w:val="17"/>
        </w:rPr>
        <w:t>Figure 8 - What is actually in the org, queried back through the API. The loader's claim and the org's state are different assertions; only the second is evidence.</w:t>
      </w:r>
    </w:p>
    <w:p>
      <w:pPr>
        <w:pStyle w:val="Heading3"/>
        <w:spacing w:before="240"/>
      </w:pPr>
      <w:r>
        <w:rPr>
          <w:rFonts w:ascii="Calibri" w:hAnsi="Calibri"/>
          <w:b/>
          <w:color w:val="22252A"/>
          <w:sz w:val="26"/>
        </w:rPr>
        <w:t>3.0.4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3" name="Picture 13"/>
            <wp:cNvGraphicFramePr>
              <a:graphicFrameLocks noChangeAspect="1"/>
            </wp:cNvGraphicFramePr>
            <a:graphic>
              <a:graphicData uri="http://schemas.openxmlformats.org/drawingml/2006/picture">
                <pic:pic>
                  <pic:nvPicPr>
                    <pic:cNvPr id="0" name="ev_05_extraction.png"/>
                    <pic:cNvPicPr/>
                  </pic:nvPicPr>
                  <pic:blipFill>
                    <a:blip r:embed="rId21"/>
                    <a:stretch>
                      <a:fillRect/>
                    </a:stretch>
                  </pic:blipFill>
                  <pic:spPr>
                    <a:xfrm>
                      <a:off x="0" y="0"/>
                      <a:ext cx="5577840" cy="2226283"/>
                    </a:xfrm>
                    <a:prstGeom prst="rect"/>
                  </pic:spPr>
                </pic:pic>
              </a:graphicData>
            </a:graphic>
          </wp:inline>
        </w:drawing>
      </w:r>
    </w:p>
    <w:p>
      <w:pPr>
        <w:jc w:val="center"/>
      </w:pPr>
      <w:r>
        <w:rPr>
          <w:i/>
          <w:color w:val="5A6472"/>
          <w:sz w:val="17"/>
        </w:rPr>
        <w:t>Figure 9 - Extraction manifest. Every row carries its source system, source id, source update time and extraction time.</w:t>
      </w:r>
    </w:p>
    <w:p>
      <w:pPr>
        <w:pStyle w:val="Heading3"/>
        <w:spacing w:before="240"/>
      </w:pPr>
      <w:r>
        <w:rPr>
          <w:rFonts w:ascii="Calibri" w:hAnsi="Calibri"/>
          <w:b/>
          <w:color w:val="22252A"/>
          <w:sz w:val="26"/>
        </w:rPr>
        <w:t>3.0.5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656063"/>
            <wp:docPr id="14" name="Picture 14"/>
            <wp:cNvGraphicFramePr>
              <a:graphicFrameLocks noChangeAspect="1"/>
            </wp:cNvGraphicFramePr>
            <a:graphic>
              <a:graphicData uri="http://schemas.openxmlformats.org/drawingml/2006/picture">
                <pic:pic>
                  <pic:nvPicPr>
                    <pic:cNvPr id="0" name="ev_06_dbt_tests.png"/>
                    <pic:cNvPicPr/>
                  </pic:nvPicPr>
                  <pic:blipFill>
                    <a:blip r:embed="rId22"/>
                    <a:stretch>
                      <a:fillRect/>
                    </a:stretch>
                  </pic:blipFill>
                  <pic:spPr>
                    <a:xfrm>
                      <a:off x="0" y="0"/>
                      <a:ext cx="5577840" cy="1656063"/>
                    </a:xfrm>
                    <a:prstGeom prst="rect"/>
                  </pic:spPr>
                </pic:pic>
              </a:graphicData>
            </a:graphic>
          </wp:inline>
        </w:drawing>
      </w:r>
    </w:p>
    <w:p>
      <w:pPr>
        <w:jc w:val="center"/>
      </w:pPr>
      <w:r>
        <w:rPr>
          <w:i/>
          <w:color w:val="5A6472"/>
          <w:sz w:val="17"/>
        </w:rPr>
        <w:t>Figure 10 - dbt build: models and data tests.</w:t>
      </w:r>
    </w:p>
    <w:p>
      <w:r>
        <w:br w:type="page"/>
      </w:r>
    </w:p>
    <w:p>
      <w:pPr>
        <w:pStyle w:val="Heading1"/>
        <w:spacing w:before="0"/>
      </w:pPr>
      <w:r>
        <w:rPr>
          <w:rFonts w:ascii="Calibri" w:hAnsi="Calibri"/>
          <w:b/>
          <w:color w:val="E03127"/>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5" name="Picture 15"/>
            <wp:cNvGraphicFramePr>
              <a:graphicFrameLocks noChangeAspect="1"/>
            </wp:cNvGraphicFramePr>
            <a:graphic>
              <a:graphicData uri="http://schemas.openxmlformats.org/drawingml/2006/picture">
                <pic:pic>
                  <pic:nvPicPr>
                    <pic:cNvPr id="0" name="ml_bands.png"/>
                    <pic:cNvPicPr/>
                  </pic:nvPicPr>
                  <pic:blipFill>
                    <a:blip r:embed="rId23"/>
                    <a:stretch>
                      <a:fillRect/>
                    </a:stretch>
                  </pic:blipFill>
                  <pic:spPr>
                    <a:xfrm>
                      <a:off x="0" y="0"/>
                      <a:ext cx="5577840" cy="2281844"/>
                    </a:xfrm>
                    <a:prstGeom prst="rect"/>
                  </pic:spPr>
                </pic:pic>
              </a:graphicData>
            </a:graphic>
          </wp:inline>
        </w:drawing>
      </w:r>
    </w:p>
    <w:p>
      <w:pPr>
        <w:jc w:val="center"/>
      </w:pPr>
      <w:r>
        <w:rPr>
          <w:i/>
          <w:color w:val="5A6472"/>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6" name="Picture 16"/>
            <wp:cNvGraphicFramePr>
              <a:graphicFrameLocks noChangeAspect="1"/>
            </wp:cNvGraphicFramePr>
            <a:graphic>
              <a:graphicData uri="http://schemas.openxmlformats.org/drawingml/2006/picture">
                <pic:pic>
                  <pic:nvPicPr>
                    <pic:cNvPr id="0" name="ml_importance.png"/>
                    <pic:cNvPicPr/>
                  </pic:nvPicPr>
                  <pic:blipFill>
                    <a:blip r:embed="rId24"/>
                    <a:stretch>
                      <a:fillRect/>
                    </a:stretch>
                  </pic:blipFill>
                  <pic:spPr>
                    <a:xfrm>
                      <a:off x="0" y="0"/>
                      <a:ext cx="5577840" cy="2281844"/>
                    </a:xfrm>
                    <a:prstGeom prst="rect"/>
                  </pic:spPr>
                </pic:pic>
              </a:graphicData>
            </a:graphic>
          </wp:inline>
        </w:drawing>
      </w:r>
    </w:p>
    <w:p>
      <w:pPr>
        <w:jc w:val="center"/>
      </w:pPr>
      <w:r>
        <w:rPr>
          <w:i/>
          <w:color w:val="5A6472"/>
          <w:sz w:val="17"/>
        </w:rPr>
        <w:t>Figure 10b - What each model actually leans on.</w:t>
      </w:r>
    </w:p>
    <w:p>
      <w:pPr>
        <w:pStyle w:val="Heading3"/>
        <w:spacing w:before="240"/>
      </w:pPr>
      <w:r>
        <w:rPr>
          <w:rFonts w:ascii="Calibri" w:hAnsi="Calibri"/>
          <w:b/>
          <w:color w:val="22252A"/>
          <w:sz w:val="26"/>
        </w:rPr>
        <w:t>4.0.1  What to do about it</w:t>
      </w:r>
    </w:p>
    <w:p>
      <w:pPr>
        <w:pStyle w:val="ListBullet"/>
      </w:pPr>
      <w:r>
        <w:rPr>
          <w:b/>
          <w:color w:val="E03127"/>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E03127"/>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E03127"/>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E03127"/>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3"/>
        <w:spacing w:before="240"/>
      </w:pPr>
      <w:r>
        <w:rPr>
          <w:rFonts w:ascii="Calibri" w:hAnsi="Calibri"/>
          <w:b/>
          <w:color w:val="22252A"/>
          <w:sz w:val="26"/>
        </w:rPr>
        <w:t>4.0.2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r>
        <w:br w:type="page"/>
      </w:r>
    </w:p>
    <w:p>
      <w:pPr>
        <w:pStyle w:val="Heading1"/>
        <w:spacing w:before="0"/>
      </w:pPr>
      <w:r>
        <w:rPr>
          <w:rFonts w:ascii="Calibri" w:hAnsi="Calibri"/>
          <w:b/>
          <w:color w:val="E03127"/>
          <w:sz w:val="40"/>
        </w:rPr>
        <w:t>5  The pipeline infrastructure</w:t>
      </w:r>
    </w:p>
    <w:p>
      <w:r>
        <w:t>Two pieces of the stack are running systems rather than code in a repository, so they are shown as they actually are - read from their own APIs at the moment this document was built.</w:t>
      </w:r>
    </w:p>
    <w:p>
      <w:pPr>
        <w:pStyle w:val="Heading3"/>
        <w:spacing w:before="240"/>
      </w:pPr>
      <w:r>
        <w:rPr>
          <w:rFonts w:ascii="Calibri" w:hAnsi="Calibri"/>
          <w:b/>
          <w:color w:val="22252A"/>
          <w:sz w:val="26"/>
        </w:rPr>
        <w:t>5.0.1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17" name="Picture 17"/>
            <wp:cNvGraphicFramePr>
              <a:graphicFrameLocks noChangeAspect="1"/>
            </wp:cNvGraphicFramePr>
            <a:graphic>
              <a:graphicData uri="http://schemas.openxmlformats.org/drawingml/2006/picture">
                <pic:pic>
                  <pic:nvPicPr>
                    <pic:cNvPr id="0" name="ev_07_nifi_flow.png"/>
                    <pic:cNvPicPr/>
                  </pic:nvPicPr>
                  <pic:blipFill>
                    <a:blip r:embed="rId25"/>
                    <a:stretch>
                      <a:fillRect/>
                    </a:stretch>
                  </pic:blipFill>
                  <pic:spPr>
                    <a:xfrm>
                      <a:off x="0" y="0"/>
                      <a:ext cx="5577840" cy="6502930"/>
                    </a:xfrm>
                    <a:prstGeom prst="rect"/>
                  </pic:spPr>
                </pic:pic>
              </a:graphicData>
            </a:graphic>
          </wp:inline>
        </w:drawing>
      </w:r>
    </w:p>
    <w:p>
      <w:pPr>
        <w:jc w:val="center"/>
      </w:pPr>
      <w:r>
        <w:rPr>
          <w:i/>
          <w:color w:val="5A6472"/>
          <w:sz w:val="17"/>
        </w:rPr>
        <w:t>Figure 11 - The live NiFi hierarchy. RY_Salesforce_to_Fabric holds two stage groups; the LYRA groups are unrelated work on the same instance.</w:t>
      </w:r>
    </w:p>
    <w:p>
      <w:pPr>
        <w:pStyle w:val="Heading3"/>
        <w:spacing w:before="240"/>
      </w:pPr>
      <w:r>
        <w:rPr>
          <w:rFonts w:ascii="Calibri" w:hAnsi="Calibri"/>
          <w:b/>
          <w:color w:val="22252A"/>
          <w:sz w:val="26"/>
        </w:rPr>
        <w:t>5.0.2  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506244"/>
            <wp:docPr id="18" name="Picture 18"/>
            <wp:cNvGraphicFramePr>
              <a:graphicFrameLocks noChangeAspect="1"/>
            </wp:cNvGraphicFramePr>
            <a:graphic>
              <a:graphicData uri="http://schemas.openxmlformats.org/drawingml/2006/picture">
                <pic:pic>
                  <pic:nvPicPr>
                    <pic:cNvPr id="0" name="ev_08_fabric.png"/>
                    <pic:cNvPicPr/>
                  </pic:nvPicPr>
                  <pic:blipFill>
                    <a:blip r:embed="rId26"/>
                    <a:stretch>
                      <a:fillRect/>
                    </a:stretch>
                  </pic:blipFill>
                  <pic:spPr>
                    <a:xfrm>
                      <a:off x="0" y="0"/>
                      <a:ext cx="5577840" cy="3506244"/>
                    </a:xfrm>
                    <a:prstGeom prst="rect"/>
                  </pic:spPr>
                </pic:pic>
              </a:graphicData>
            </a:graphic>
          </wp:inline>
        </w:drawing>
      </w:r>
    </w:p>
    <w:p>
      <w:pPr>
        <w:jc w:val="center"/>
      </w:pPr>
      <w:r>
        <w:rPr>
          <w:i/>
          <w:color w:val="5A6472"/>
          <w:sz w:val="17"/>
        </w:rPr>
        <w:t>Figure 12 - The Fabric workspace, its capacity, and what is actually in OneLake - listed back rather than assumed from the upload's own success message.</w:t>
      </w:r>
    </w:p>
    <w:p>
      <w:pPr>
        <w:pStyle w:val="Heading2"/>
        <w:spacing w:before="320"/>
      </w:pPr>
      <w:r>
        <w:rPr>
          <w:rFonts w:ascii="Calibri" w:hAnsi="Calibri"/>
          <w:b/>
          <w:color w:val="22252A"/>
          <w:sz w:val="34"/>
        </w:rPr>
        <w:t>5.1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