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2.jfif"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pPr>
    </w:p>
    <w:p>
      <w:pPr>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red-yellow-logo.png"/>
                    <pic:cNvPicPr/>
                  </pic:nvPicPr>
                  <pic:blipFill>
                    <a:blip r:embed="rId9"/>
                    <a:stretch>
                      <a:fillRect/>
                    </a:stretch>
                  </pic:blipFill>
                  <pic:spPr>
                    <a:xfrm>
                      <a:off x="0" y="0"/>
                      <a:ext cx="1234440" cy="1234440"/>
                    </a:xfrm>
                    <a:prstGeom prst="rect"/>
                  </pic:spPr>
                </pic:pic>
              </a:graphicData>
            </a:graphic>
          </wp:inline>
        </w:drawing>
      </w:r>
    </w:p>
    <w:p>
      <w:pPr>
        <w:spacing w:before="360"/>
      </w:pPr>
      <w:r>
        <w:rPr>
          <w:b/>
          <w:color w:val="F52635"/>
          <w:sz w:val="80"/>
        </w:rPr>
        <w:t>Red &amp; Yellow</w:t>
      </w:r>
    </w:p>
    <w:p>
      <w:r>
        <w:rPr>
          <w:color w:val="1D1D1B"/>
          <w:sz w:val="34"/>
        </w:rPr>
        <w:t>From marketing spend to student outcomes</w:t>
      </w:r>
    </w:p>
    <w:p>
      <w:r>
        <w:rPr>
          <w:color w:val="60646B"/>
          <w:sz w:val="23"/>
        </w:rPr>
        <w:t>A CRM analytics platform built on Salesforce, Apache NiFi, dbt, Microsoft Fabric and Power BI</w:t>
      </w:r>
    </w:p>
    <w:p>
      <w:r>
        <w:rPr>
          <w:color w:val="60646B"/>
          <w:sz w:val="20"/>
        </w:rPr>
        <w:br/>
        <w:t>10 September 2026   |   Anthony Apollis</w:t>
      </w:r>
    </w:p>
    <w:p>
      <w:r>
        <w:rPr>
          <w:i/>
          <w:color w:val="60646B"/>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r>
        <w:rPr>
          <w:b/>
          <w:color w:val="F52635"/>
          <w:sz w:val="40"/>
        </w:rPr>
        <w:t>Contents</w:t>
      </w:r>
    </w:p>
    <w:p>
      <w:r/>
      <w:fldSimple w:instr="TOC \o &quot;1-3&quot; \h \z \u">
        <w:r>
          <w:t>Right-click here and choose Update Field to build the contents list.</w:t>
        </w:r>
      </w:fldSimple>
    </w:p>
    <w:p>
      <w:r>
        <w:br w:type="page"/>
      </w:r>
    </w:p>
    <w:p>
      <w:pPr>
        <w:pStyle w:val="Heading1"/>
        <w:spacing w:before="0"/>
      </w:pPr>
      <w:r>
        <w:rPr>
          <w:rFonts w:ascii="Calibri" w:hAnsi="Calibri"/>
          <w:b/>
          <w:color w:val="F52635"/>
          <w:sz w:val="40"/>
        </w:rPr>
        <w:t>1  Introduction</w:t>
      </w:r>
    </w:p>
    <w:p>
      <w:r>
        <w:t>Red &amp; Yellow advertised for a Data Analytics Engineer whose brief is CRM integration: build the pipelines, catalogue the data, model it, and put it in front of people who make decisions. The advert names six things - a data catalogue, ERDs for internal systems, ETL preferably in Apache NiFi, Salesforce data extracted and analysed, Power BI dashboards, and data quality held to a standard.</w:t>
      </w:r>
    </w:p>
    <w:p>
      <w:r>
        <w:t>This document is the working answer to all six, and it is written to be checked rather than admired. Every figure in it is generated from a live query or a live API call at the moment the document is built, so nothing here can describe a pipeline that has stopped working. Where something does not work, or could not be done, it says so.</w:t>
      </w:r>
    </w:p>
    <w:p>
      <w:pPr>
        <w:pStyle w:val="Heading2"/>
        <w:spacing w:before="240"/>
      </w:pPr>
      <w:r>
        <w:rPr>
          <w:rFonts w:ascii="Calibri" w:hAnsi="Calibri"/>
          <w:b/>
          <w:color w:val="1D1D1B"/>
          <w:sz w:val="32"/>
        </w:rPr>
        <w:t>1.1  How to read it</w:t>
      </w:r>
    </w:p>
    <w:p>
      <w:pPr>
        <w:pStyle w:val="ListBullet"/>
      </w:pPr>
      <w:r>
        <w:rPr>
          <w:b/>
          <w:color w:val="F52635"/>
        </w:rPr>
        <w:t xml:space="preserve">The numbers first. </w:t>
      </w:r>
      <w:r>
        <w:t>Chapter 2 sets out what was built and how much of it there is.</w:t>
      </w:r>
    </w:p>
    <w:p>
      <w:pPr>
        <w:pStyle w:val="ListBullet"/>
      </w:pPr>
      <w:r>
        <w:rPr>
          <w:b/>
          <w:color w:val="F52635"/>
        </w:rPr>
        <w:t xml:space="preserve">Then the decisions. </w:t>
      </w:r>
      <w:r>
        <w:t>Chapters 3 to 8 cover the modelling choices that are actually arguable - spend attribution, de-duplication, what a blank means - and what happened when each was got wrong first.</w:t>
      </w:r>
    </w:p>
    <w:p>
      <w:pPr>
        <w:pStyle w:val="ListBullet"/>
      </w:pPr>
      <w:r>
        <w:rPr>
          <w:b/>
          <w:color w:val="F52635"/>
        </w:rPr>
        <w:t xml:space="preserve">Then the evidence. </w:t>
      </w:r>
      <w:r>
        <w:t>Chapters 9 to 11 show the Salesforce integration step by step, the two predictive models with their metrics against a base rate, and the running NiFi and Fabric infrastructure.</w:t>
      </w:r>
    </w:p>
    <w:p>
      <w:pPr>
        <w:pStyle w:val="ListBullet"/>
      </w:pPr>
      <w:r>
        <w:rPr>
          <w:b/>
          <w:color w:val="F52635"/>
        </w:rPr>
        <w:t xml:space="preserve">Finally the limits. </w:t>
      </w:r>
      <w:r>
        <w:t>The last chapter is what this work does not claim.</w:t>
      </w:r>
    </w:p>
    <w:p>
      <w:pPr>
        <w:pStyle w:val="Heading2"/>
        <w:spacing w:before="240"/>
      </w:pPr>
      <w:r>
        <w:rPr>
          <w:rFonts w:ascii="Calibri" w:hAnsi="Calibri"/>
          <w:b/>
          <w:color w:val="1D1D1B"/>
          <w:sz w:val="32"/>
        </w:rPr>
        <w:t>1.2  What, why and how</w:t>
      </w:r>
    </w:p>
    <w:p>
      <w:r>
        <w:t>Every section follows the same reading rule. What names the data or decision being shown. Why explains the business question it answers. How tells the reader which filter, comparison or action to use next. The captions and dashboard subtitles use the same language so the document and report remain self-explanatory when they are read separately.</w:t>
      </w:r>
    </w:p>
    <w:p/>
    <w:p>
      <w:r>
        <w:rPr>
          <w:i/>
          <w:color w:val="60646B"/>
        </w:rPr>
        <w:t>One thing to hold in mind throughout: the programme catalogue is real, transcribed from Red &amp; Yellow's public site. Everything about people - every lead, contact, application, enrolment and result - is synthetic, and the relationships between them were put there deliberately so the pipeline had something to find. That makes this a demonstration of method, not a finding about Red &amp; Yellow.</w:t>
      </w:r>
    </w:p>
    <w:p>
      <w:r>
        <w:br w:type="page"/>
      </w:r>
    </w:p>
    <w:p>
      <w:pPr>
        <w:pStyle w:val="Heading1"/>
        <w:spacing w:before="0"/>
      </w:pPr>
      <w:r>
        <w:rPr>
          <w:rFonts w:ascii="Calibri" w:hAnsi="Calibri"/>
          <w:b/>
          <w:color w:val="F52635"/>
          <w:sz w:val="40"/>
        </w:rPr>
        <w:t>2  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2,694,805 people and 11.5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jc w:val="center"/>
      </w:pPr>
      <w:r>
        <w:drawing>
          <wp:inline xmlns:a="http://schemas.openxmlformats.org/drawingml/2006/main" xmlns:pic="http://schemas.openxmlformats.org/drawingml/2006/picture">
            <wp:extent cx="5577840" cy="2221682"/>
            <wp:docPr id="2" name="Picture 2"/>
            <wp:cNvGraphicFramePr>
              <a:graphicFrameLocks noChangeAspect="1"/>
            </wp:cNvGraphicFramePr>
            <a:graphic>
              <a:graphicData uri="http://schemas.openxmlformats.org/drawingml/2006/picture">
                <pic:pic>
                  <pic:nvPicPr>
                    <pic:cNvPr id="0" name="creative-magic-commercial-logic.png"/>
                    <pic:cNvPicPr/>
                  </pic:nvPicPr>
                  <pic:blipFill>
                    <a:blip r:embed="rId10"/>
                    <a:stretch>
                      <a:fillRect/>
                    </a:stretch>
                  </pic:blipFill>
                  <pic:spPr>
                    <a:xfrm>
                      <a:off x="0" y="0"/>
                      <a:ext cx="5577840" cy="2221682"/>
                    </a:xfrm>
                    <a:prstGeom prst="rect"/>
                  </pic:spPr>
                </pic:pic>
              </a:graphicData>
            </a:graphic>
          </wp:inline>
        </w:drawing>
      </w:r>
    </w:p>
    <w:p>
      <w:pPr>
        <w:jc w:val="center"/>
      </w:pPr>
      <w:r>
        <w:rPr>
          <w:i/>
          <w:color w:val="60646B"/>
          <w:sz w:val="17"/>
        </w:rPr>
        <w:t>Red &amp; Yellow's Creative Magic and Commercial Logic — the brand idea that frames this data story.</w:t>
      </w:r>
    </w:p>
    <w:p>
      <w:pPr>
        <w:jc w:val="center"/>
      </w:pPr>
      <w:r>
        <w:drawing>
          <wp:inline xmlns:a="http://schemas.openxmlformats.org/drawingml/2006/main" xmlns:pic="http://schemas.openxmlformats.org/drawingml/2006/picture">
            <wp:extent cx="5577840" cy="1780162"/>
            <wp:docPr id="3" name="Picture 3"/>
            <wp:cNvGraphicFramePr>
              <a:graphicFrameLocks noChangeAspect="1"/>
            </wp:cNvGraphicFramePr>
            <a:graphic>
              <a:graphicData uri="http://schemas.openxmlformats.org/drawingml/2006/picture">
                <pic:pic>
                  <pic:nvPicPr>
                    <pic:cNvPr id="0" name="ev_00_architecture.png"/>
                    <pic:cNvPicPr/>
                  </pic:nvPicPr>
                  <pic:blipFill>
                    <a:blip r:embed="rId11"/>
                    <a:stretch>
                      <a:fillRect/>
                    </a:stretch>
                  </pic:blipFill>
                  <pic:spPr>
                    <a:xfrm>
                      <a:off x="0" y="0"/>
                      <a:ext cx="5577840" cy="1780162"/>
                    </a:xfrm>
                    <a:prstGeom prst="rect"/>
                  </pic:spPr>
                </pic:pic>
              </a:graphicData>
            </a:graphic>
          </wp:inline>
        </w:drawing>
      </w:r>
    </w:p>
    <w:p>
      <w:pPr>
        <w:jc w:val="center"/>
      </w:pPr>
      <w:r>
        <w:rPr>
          <w:i/>
          <w:color w:val="60646B"/>
          <w:sz w:val="17"/>
        </w:rPr>
        <w:t>Figure 0 - The pipeline end to end. Each stage is a separate, runnable component; nothing here is a diagram of an intention.</w:t>
      </w:r>
    </w:p>
    <w:p>
      <w:pPr>
        <w:pStyle w:val="Heading2"/>
        <w:spacing w:before="320"/>
      </w:pPr>
      <w:r>
        <w:rPr>
          <w:rFonts w:ascii="Calibri" w:hAnsi="Calibri"/>
          <w:b/>
          <w:color w:val="1D1D1B"/>
          <w:sz w:val="34"/>
        </w:rPr>
        <w:t>2.1  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1,165,332 (from 1,194,805 records)</w:t>
            </w:r>
          </w:p>
        </w:tc>
      </w:tr>
      <w:tr>
        <w:tc>
          <w:tcPr>
            <w:tcW w:type="dxa" w:w="4320"/>
          </w:tcPr>
          <w:p>
            <w:r>
              <w:t>Opportunities in the admissions pipeline</w:t>
            </w:r>
          </w:p>
        </w:tc>
        <w:tc>
          <w:tcPr>
            <w:tcW w:type="dxa" w:w="4320"/>
          </w:tcPr>
          <w:p>
            <w:r>
              <w:t>740,779</w:t>
            </w:r>
          </w:p>
        </w:tc>
      </w:tr>
      <w:tr>
        <w:tc>
          <w:tcPr>
            <w:tcW w:type="dxa" w:w="4320"/>
          </w:tcPr>
          <w:p>
            <w:r>
              <w:t>Applications submitted</w:t>
            </w:r>
          </w:p>
        </w:tc>
        <w:tc>
          <w:tcPr>
            <w:tcW w:type="dxa" w:w="4320"/>
          </w:tcPr>
          <w:p>
            <w:r>
              <w:t>533,360</w:t>
            </w:r>
          </w:p>
        </w:tc>
      </w:tr>
      <w:tr>
        <w:tc>
          <w:tcPr>
            <w:tcW w:type="dxa" w:w="4320"/>
          </w:tcPr>
          <w:p>
            <w:r>
              <w:t>Enrolments</w:t>
            </w:r>
          </w:p>
        </w:tc>
        <w:tc>
          <w:tcPr>
            <w:tcW w:type="dxa" w:w="4320"/>
          </w:tcPr>
          <w:p>
            <w:r>
              <w:t>304,168</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R2,867.2m</w:t>
            </w:r>
          </w:p>
        </w:tc>
      </w:tr>
      <w:tr>
        <w:tc>
          <w:tcPr>
            <w:tcW w:type="dxa" w:w="4320"/>
          </w:tcPr>
          <w:p>
            <w:r>
              <w:t>Data quality issues detected</w:t>
            </w:r>
          </w:p>
        </w:tc>
        <w:tc>
          <w:tcPr>
            <w:tcW w:type="dxa" w:w="4320"/>
          </w:tcPr>
          <w:p>
            <w:r>
              <w:t>331,391</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4" name="Picture 4"/>
            <wp:cNvGraphicFramePr>
              <a:graphicFrameLocks noChangeAspect="1"/>
            </wp:cNvGraphicFramePr>
            <a:graphic>
              <a:graphicData uri="http://schemas.openxmlformats.org/drawingml/2006/picture">
                <pic:pic>
                  <pic:nvPicPr>
                    <pic:cNvPr id="0" name="funnel.png"/>
                    <pic:cNvPicPr/>
                  </pic:nvPicPr>
                  <pic:blipFill>
                    <a:blip r:embed="rId12"/>
                    <a:stretch>
                      <a:fillRect/>
                    </a:stretch>
                  </pic:blipFill>
                  <pic:spPr>
                    <a:xfrm>
                      <a:off x="0" y="0"/>
                      <a:ext cx="5577840" cy="2614612"/>
                    </a:xfrm>
                    <a:prstGeom prst="rect"/>
                  </pic:spPr>
                </pic:pic>
              </a:graphicData>
            </a:graphic>
          </wp:inline>
        </w:drawing>
      </w:r>
    </w:p>
    <w:p>
      <w:pPr>
        <w:jc w:val="center"/>
      </w:pPr>
      <w:r>
        <w:rPr>
          <w:i/>
          <w:color w:val="60646B"/>
          <w:sz w:val="17"/>
        </w:rPr>
        <w:t>Figure 1 - The funnel by stage. Leads and contacts overlap, so the step between them is not attrition.</w:t>
      </w:r>
    </w:p>
    <w:p>
      <w:pPr>
        <w:pStyle w:val="Heading2"/>
        <w:spacing w:before="320"/>
      </w:pPr>
      <w:r>
        <w:rPr>
          <w:rFonts w:ascii="Calibri" w:hAnsi="Calibri"/>
          <w:b/>
          <w:color w:val="1D1D1B"/>
          <w:sz w:val="34"/>
        </w:rPr>
        <w:t>2.2  Where the marketing money goes</w:t>
      </w:r>
    </w:p>
    <w:p>
      <w:r>
        <w:t>Cost per enrolment sits between R1,891 and R2,899 across channels, on a return of 3.2x to 5.0x. Career expo returns the most per rand at 5.00x; Print the least at 3.23x.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5" name="Picture 5"/>
            <wp:cNvGraphicFramePr>
              <a:graphicFrameLocks noChangeAspect="1"/>
            </wp:cNvGraphicFramePr>
            <a:graphic>
              <a:graphicData uri="http://schemas.openxmlformats.org/drawingml/2006/picture">
                <pic:pic>
                  <pic:nvPicPr>
                    <pic:cNvPr id="0" name="cpe.png"/>
                    <pic:cNvPicPr/>
                  </pic:nvPicPr>
                  <pic:blipFill>
                    <a:blip r:embed="rId13"/>
                    <a:stretch>
                      <a:fillRect/>
                    </a:stretch>
                  </pic:blipFill>
                  <pic:spPr>
                    <a:xfrm>
                      <a:off x="0" y="0"/>
                      <a:ext cx="5577840" cy="2614612"/>
                    </a:xfrm>
                    <a:prstGeom prst="rect"/>
                  </pic:spPr>
                </pic:pic>
              </a:graphicData>
            </a:graphic>
          </wp:inline>
        </w:drawing>
      </w:r>
    </w:p>
    <w:p>
      <w:pPr>
        <w:jc w:val="center"/>
      </w:pPr>
      <w:r>
        <w:rPr>
          <w:i/>
          <w:color w:val="60646B"/>
          <w:sz w:val="17"/>
        </w:rPr>
        <w:t>Figure 2 - Cost per enrolment by channel.</w:t>
      </w:r>
    </w:p>
    <w:p>
      <w:pPr>
        <w:pStyle w:val="Heading2"/>
        <w:spacing w:before="240"/>
      </w:pPr>
      <w:r>
        <w:rPr>
          <w:rFonts w:ascii="Calibri" w:hAnsi="Calibri"/>
          <w:b/>
          <w:color w:val="1D1D1B"/>
          <w:sz w:val="32"/>
        </w:rPr>
        <w:t>2.3  Marketing analytics, from audience to value</w:t>
      </w:r>
    </w:p>
    <w:p>
      <w:r>
        <w:t>The marketing page separates reach, response, enrolment and value. Response rate tells the team whether a channel is reaching an interested audience; cost per enrolment tells it what that audience costs to convert; return on ad spend tests whether the resulting fees justify the investment. Revenue per member and spend per response make the same comparison usable before a campaign has accumulated enough enrolments for a stable cost-per-enrolment figure.</w:t>
      </w:r>
    </w:p>
    <w:p>
      <w:pPr>
        <w:jc w:val="center"/>
      </w:pPr>
      <w:r>
        <w:drawing>
          <wp:inline xmlns:a="http://schemas.openxmlformats.org/drawingml/2006/main" xmlns:pic="http://schemas.openxmlformats.org/drawingml/2006/picture">
            <wp:extent cx="5577840" cy="2440305"/>
            <wp:docPr id="6" name="Picture 6"/>
            <wp:cNvGraphicFramePr>
              <a:graphicFrameLocks noChangeAspect="1"/>
            </wp:cNvGraphicFramePr>
            <a:graphic>
              <a:graphicData uri="http://schemas.openxmlformats.org/drawingml/2006/picture">
                <pic:pic>
                  <pic:nvPicPr>
                    <pic:cNvPr id="0" name="marketing_efficiency.png"/>
                    <pic:cNvPicPr/>
                  </pic:nvPicPr>
                  <pic:blipFill>
                    <a:blip r:embed="rId14"/>
                    <a:stretch>
                      <a:fillRect/>
                    </a:stretch>
                  </pic:blipFill>
                  <pic:spPr>
                    <a:xfrm>
                      <a:off x="0" y="0"/>
                      <a:ext cx="5577840" cy="2440305"/>
                    </a:xfrm>
                    <a:prstGeom prst="rect"/>
                  </pic:spPr>
                </pic:pic>
              </a:graphicData>
            </a:graphic>
          </wp:inline>
        </w:drawing>
      </w:r>
    </w:p>
    <w:p>
      <w:pPr>
        <w:jc w:val="center"/>
      </w:pPr>
      <w:r>
        <w:rPr>
          <w:i/>
          <w:color w:val="60646B"/>
          <w:sz w:val="17"/>
        </w:rPr>
        <w:t>Figure 2a - Campaign response rate and return on ad spend by channel. Both are calculated at campaign grain before they are aggregated.</w:t>
      </w:r>
    </w:p>
    <w:p>
      <w:pPr>
        <w:pStyle w:val="Heading2"/>
        <w:spacing w:before="320"/>
      </w:pPr>
      <w:r>
        <w:rPr>
          <w:rFonts w:ascii="Calibri" w:hAnsi="Calibri"/>
          <w:b/>
          <w:color w:val="1D1D1B"/>
          <w:sz w:val="34"/>
        </w:rPr>
        <w:t>2.4  Student success as an early warning</w:t>
      </w:r>
    </w:p>
    <w:p>
      <w:r>
        <w:t>Attendance opens at 83% and decays to 67% by week 19. The proportion of students meeting the at-risk definition - attendance under 55%, or assessment average under 50%, or three or more overdue assignments - moves from 8%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7" name="Picture 7"/>
            <wp:cNvGraphicFramePr>
              <a:graphicFrameLocks noChangeAspect="1"/>
            </wp:cNvGraphicFramePr>
            <a:graphic>
              <a:graphicData uri="http://schemas.openxmlformats.org/drawingml/2006/picture">
                <pic:pic>
                  <pic:nvPicPr>
                    <pic:cNvPr id="0" name="risk.png"/>
                    <pic:cNvPicPr/>
                  </pic:nvPicPr>
                  <pic:blipFill>
                    <a:blip r:embed="rId15"/>
                    <a:stretch>
                      <a:fillRect/>
                    </a:stretch>
                  </pic:blipFill>
                  <pic:spPr>
                    <a:xfrm>
                      <a:off x="0" y="0"/>
                      <a:ext cx="5577840" cy="2614612"/>
                    </a:xfrm>
                    <a:prstGeom prst="rect"/>
                  </pic:spPr>
                </pic:pic>
              </a:graphicData>
            </a:graphic>
          </wp:inline>
        </w:drawing>
      </w:r>
    </w:p>
    <w:p>
      <w:pPr>
        <w:jc w:val="center"/>
      </w:pPr>
      <w:r>
        <w:rPr>
          <w:i/>
          <w:color w:val="60646B"/>
          <w:sz w:val="17"/>
        </w:rPr>
        <w:t>Figure 3 - Academic health across the study weeks.</w:t>
      </w:r>
    </w:p>
    <w:p>
      <w:pPr>
        <w:pStyle w:val="Heading2"/>
        <w:spacing w:before="320"/>
      </w:pPr>
      <w:r>
        <w:rPr>
          <w:rFonts w:ascii="Calibri" w:hAnsi="Calibri"/>
          <w:b/>
          <w:color w:val="1D1D1B"/>
          <w:sz w:val="34"/>
        </w:rPr>
        <w:t>2.5  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2,941,487 injected defects the pipeline detects 331,391 issues. De-duplication recovers 0.97 of the duplicates that were planted.</w:t>
      </w:r>
    </w:p>
    <w:p>
      <w:pPr>
        <w:pStyle w:val="Heading3"/>
        <w:spacing w:before="240"/>
      </w:pPr>
      <w:r>
        <w:rPr>
          <w:rFonts w:ascii="Calibri" w:hAnsi="Calibri"/>
          <w:b/>
          <w:color w:val="1D1D1B"/>
          <w:sz w:val="26"/>
        </w:rPr>
        <w:t>2.5.1  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8" name="Picture 8"/>
            <wp:cNvGraphicFramePr>
              <a:graphicFrameLocks noChangeAspect="1"/>
            </wp:cNvGraphicFramePr>
            <a:graphic>
              <a:graphicData uri="http://schemas.openxmlformats.org/drawingml/2006/picture">
                <pic:pic>
                  <pic:nvPicPr>
                    <pic:cNvPr id="0" name="dq.png"/>
                    <pic:cNvPicPr/>
                  </pic:nvPicPr>
                  <pic:blipFill>
                    <a:blip r:embed="rId16"/>
                    <a:stretch>
                      <a:fillRect/>
                    </a:stretch>
                  </pic:blipFill>
                  <pic:spPr>
                    <a:xfrm>
                      <a:off x="0" y="0"/>
                      <a:ext cx="5577840" cy="2963228"/>
                    </a:xfrm>
                    <a:prstGeom prst="rect"/>
                  </pic:spPr>
                </pic:pic>
              </a:graphicData>
            </a:graphic>
          </wp:inline>
        </w:drawing>
      </w:r>
    </w:p>
    <w:p>
      <w:pPr>
        <w:jc w:val="center"/>
      </w:pPr>
      <w:r>
        <w:rPr>
          <w:i/>
          <w:color w:val="60646B"/>
          <w:sz w:val="17"/>
        </w:rPr>
        <w:t>Figure 4 - Detected issues by type.</w:t>
      </w:r>
    </w:p>
    <w:p>
      <w:pPr>
        <w:pStyle w:val="Heading2"/>
        <w:spacing w:before="240"/>
      </w:pPr>
      <w:r>
        <w:rPr>
          <w:rFonts w:ascii="Calibri" w:hAnsi="Calibri"/>
          <w:b/>
          <w:color w:val="1D1D1B"/>
          <w:sz w:val="32"/>
        </w:rPr>
        <w:t>2.6  Reconciliation: source to report</w:t>
      </w:r>
    </w:p>
    <w:p>
      <w:r>
        <w:t>What: this compares every raw Parquet source count with its staging model, then checks the campaign and revenue totals that feed Power BI. Why: it distinguishes a deliberate reduction, such as de-duplicating contacts, from a dropped partition or broken join. How: rerun the same dbt build and this table is regenerated from the read-only warehouse connection; a zero delta is an exact count match.</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Entity</w:t>
            </w:r>
          </w:p>
        </w:tc>
        <w:tc>
          <w:tcPr>
            <w:tcW w:type="dxa" w:w="2160"/>
          </w:tcPr>
          <w:p>
            <w:r>
              <w:t>Source rows</w:t>
            </w:r>
          </w:p>
        </w:tc>
        <w:tc>
          <w:tcPr>
            <w:tcW w:type="dxa" w:w="2160"/>
          </w:tcPr>
          <w:p>
            <w:r>
              <w:t>Staging rows</w:t>
            </w:r>
          </w:p>
        </w:tc>
        <w:tc>
          <w:tcPr>
            <w:tcW w:type="dxa" w:w="2160"/>
          </w:tcPr>
          <w:p>
            <w:r>
              <w:t>Delta</w:t>
            </w:r>
          </w:p>
        </w:tc>
      </w:tr>
      <w:tr>
        <w:tc>
          <w:tcPr>
            <w:tcW w:type="dxa" w:w="2160"/>
          </w:tcPr>
          <w:p>
            <w:r>
              <w:t>Lead</w:t>
            </w:r>
          </w:p>
        </w:tc>
        <w:tc>
          <w:tcPr>
            <w:tcW w:type="dxa" w:w="2160"/>
          </w:tcPr>
          <w:p>
            <w:r>
              <w:t>1,500,000</w:t>
            </w:r>
          </w:p>
        </w:tc>
        <w:tc>
          <w:tcPr>
            <w:tcW w:type="dxa" w:w="2160"/>
          </w:tcPr>
          <w:p>
            <w:r>
              <w:t>1,500,000</w:t>
            </w:r>
          </w:p>
        </w:tc>
        <w:tc>
          <w:tcPr>
            <w:tcW w:type="dxa" w:w="2160"/>
          </w:tcPr>
          <w:p>
            <w:r>
              <w:t>0</w:t>
            </w:r>
          </w:p>
        </w:tc>
      </w:tr>
      <w:tr>
        <w:tc>
          <w:tcPr>
            <w:tcW w:type="dxa" w:w="2160"/>
          </w:tcPr>
          <w:p>
            <w:r>
              <w:t>Contact</w:t>
            </w:r>
          </w:p>
        </w:tc>
        <w:tc>
          <w:tcPr>
            <w:tcW w:type="dxa" w:w="2160"/>
          </w:tcPr>
          <w:p>
            <w:r>
              <w:t>1,194,805</w:t>
            </w:r>
          </w:p>
        </w:tc>
        <w:tc>
          <w:tcPr>
            <w:tcW w:type="dxa" w:w="2160"/>
          </w:tcPr>
          <w:p>
            <w:r>
              <w:t>1,194,805</w:t>
            </w:r>
          </w:p>
        </w:tc>
        <w:tc>
          <w:tcPr>
            <w:tcW w:type="dxa" w:w="2160"/>
          </w:tcPr>
          <w:p>
            <w:r>
              <w:t>0</w:t>
            </w:r>
          </w:p>
        </w:tc>
      </w:tr>
      <w:tr>
        <w:tc>
          <w:tcPr>
            <w:tcW w:type="dxa" w:w="2160"/>
          </w:tcPr>
          <w:p>
            <w:r>
              <w:t>Opportunity</w:t>
            </w:r>
          </w:p>
        </w:tc>
        <w:tc>
          <w:tcPr>
            <w:tcW w:type="dxa" w:w="2160"/>
          </w:tcPr>
          <w:p>
            <w:r>
              <w:t>740,779</w:t>
            </w:r>
          </w:p>
        </w:tc>
        <w:tc>
          <w:tcPr>
            <w:tcW w:type="dxa" w:w="2160"/>
          </w:tcPr>
          <w:p>
            <w:r>
              <w:t>740,779</w:t>
            </w:r>
          </w:p>
        </w:tc>
        <w:tc>
          <w:tcPr>
            <w:tcW w:type="dxa" w:w="2160"/>
          </w:tcPr>
          <w:p>
            <w:r>
              <w:t>0</w:t>
            </w:r>
          </w:p>
        </w:tc>
      </w:tr>
      <w:tr>
        <w:tc>
          <w:tcPr>
            <w:tcW w:type="dxa" w:w="2160"/>
          </w:tcPr>
          <w:p>
            <w:r>
              <w:t>Application</w:t>
            </w:r>
          </w:p>
        </w:tc>
        <w:tc>
          <w:tcPr>
            <w:tcW w:type="dxa" w:w="2160"/>
          </w:tcPr>
          <w:p>
            <w:r>
              <w:t>533,360</w:t>
            </w:r>
          </w:p>
        </w:tc>
        <w:tc>
          <w:tcPr>
            <w:tcW w:type="dxa" w:w="2160"/>
          </w:tcPr>
          <w:p>
            <w:r>
              <w:t>533,360</w:t>
            </w:r>
          </w:p>
        </w:tc>
        <w:tc>
          <w:tcPr>
            <w:tcW w:type="dxa" w:w="2160"/>
          </w:tcPr>
          <w:p>
            <w:r>
              <w:t>0</w:t>
            </w:r>
          </w:p>
        </w:tc>
      </w:tr>
      <w:tr>
        <w:tc>
          <w:tcPr>
            <w:tcW w:type="dxa" w:w="2160"/>
          </w:tcPr>
          <w:p>
            <w:r>
              <w:t>Enrolment</w:t>
            </w:r>
          </w:p>
        </w:tc>
        <w:tc>
          <w:tcPr>
            <w:tcW w:type="dxa" w:w="2160"/>
          </w:tcPr>
          <w:p>
            <w:r>
              <w:t>304,168</w:t>
            </w:r>
          </w:p>
        </w:tc>
        <w:tc>
          <w:tcPr>
            <w:tcW w:type="dxa" w:w="2160"/>
          </w:tcPr>
          <w:p>
            <w:r>
              <w:t>304,168</w:t>
            </w:r>
          </w:p>
        </w:tc>
        <w:tc>
          <w:tcPr>
            <w:tcW w:type="dxa" w:w="2160"/>
          </w:tcPr>
          <w:p>
            <w:r>
              <w:t>0</w:t>
            </w:r>
          </w:p>
        </w:tc>
      </w:tr>
      <w:tr>
        <w:tc>
          <w:tcPr>
            <w:tcW w:type="dxa" w:w="2160"/>
          </w:tcPr>
          <w:p>
            <w:r>
              <w:t>Campaign</w:t>
            </w:r>
          </w:p>
        </w:tc>
        <w:tc>
          <w:tcPr>
            <w:tcW w:type="dxa" w:w="2160"/>
          </w:tcPr>
          <w:p>
            <w:r>
              <w:t>480</w:t>
            </w:r>
          </w:p>
        </w:tc>
        <w:tc>
          <w:tcPr>
            <w:tcW w:type="dxa" w:w="2160"/>
          </w:tcPr>
          <w:p>
            <w:r>
              <w:t>480</w:t>
            </w:r>
          </w:p>
        </w:tc>
        <w:tc>
          <w:tcPr>
            <w:tcW w:type="dxa" w:w="2160"/>
          </w:tcPr>
          <w:p>
            <w:r>
              <w:t>0</w:t>
            </w:r>
          </w:p>
        </w:tc>
      </w:tr>
      <w:tr>
        <w:tc>
          <w:tcPr>
            <w:tcW w:type="dxa" w:w="2160"/>
          </w:tcPr>
          <w:p>
            <w:r>
              <w:t>Campaign member</w:t>
            </w:r>
          </w:p>
        </w:tc>
        <w:tc>
          <w:tcPr>
            <w:tcW w:type="dxa" w:w="2160"/>
          </w:tcPr>
          <w:p>
            <w:r>
              <w:t>2,533,440</w:t>
            </w:r>
          </w:p>
        </w:tc>
        <w:tc>
          <w:tcPr>
            <w:tcW w:type="dxa" w:w="2160"/>
          </w:tcPr>
          <w:p>
            <w:r>
              <w:t>2,533,440</w:t>
            </w:r>
          </w:p>
        </w:tc>
        <w:tc>
          <w:tcPr>
            <w:tcW w:type="dxa" w:w="2160"/>
          </w:tcPr>
          <w:p>
            <w:r>
              <w:t>0</w:t>
            </w:r>
          </w:p>
        </w:tc>
      </w:tr>
      <w:tr>
        <w:tc>
          <w:tcPr>
            <w:tcW w:type="dxa" w:w="2160"/>
          </w:tcPr>
          <w:p>
            <w:r>
              <w:t>Student</w:t>
            </w:r>
          </w:p>
        </w:tc>
        <w:tc>
          <w:tcPr>
            <w:tcW w:type="dxa" w:w="2160"/>
          </w:tcPr>
          <w:p>
            <w:r>
              <w:t>254,931</w:t>
            </w:r>
          </w:p>
        </w:tc>
        <w:tc>
          <w:tcPr>
            <w:tcW w:type="dxa" w:w="2160"/>
          </w:tcPr>
          <w:p>
            <w:r>
              <w:t>254,931</w:t>
            </w:r>
          </w:p>
        </w:tc>
        <w:tc>
          <w:tcPr>
            <w:tcW w:type="dxa" w:w="2160"/>
          </w:tcPr>
          <w:p>
            <w:r>
              <w:t>0</w:t>
            </w:r>
          </w:p>
        </w:tc>
      </w:tr>
      <w:tr>
        <w:tc>
          <w:tcPr>
            <w:tcW w:type="dxa" w:w="2160"/>
          </w:tcPr>
          <w:p>
            <w:r>
              <w:t>Student progress</w:t>
            </w:r>
          </w:p>
        </w:tc>
        <w:tc>
          <w:tcPr>
            <w:tcW w:type="dxa" w:w="2160"/>
          </w:tcPr>
          <w:p>
            <w:r>
              <w:t>3,799,284</w:t>
            </w:r>
          </w:p>
        </w:tc>
        <w:tc>
          <w:tcPr>
            <w:tcW w:type="dxa" w:w="2160"/>
          </w:tcPr>
          <w:p>
            <w:r>
              <w:t>3,799,284</w:t>
            </w:r>
          </w:p>
        </w:tc>
        <w:tc>
          <w:tcPr>
            <w:tcW w:type="dxa" w:w="2160"/>
          </w:tcPr>
          <w:p>
            <w:r>
              <w:t>0</w:t>
            </w:r>
          </w:p>
        </w:tc>
      </w:tr>
      <w:tr>
        <w:tc>
          <w:tcPr>
            <w:tcW w:type="dxa" w:w="2160"/>
          </w:tcPr>
          <w:p>
            <w:r>
              <w:t>Programme</w:t>
            </w:r>
          </w:p>
        </w:tc>
        <w:tc>
          <w:tcPr>
            <w:tcW w:type="dxa" w:w="2160"/>
          </w:tcPr>
          <w:p>
            <w:r>
              <w:t>83</w:t>
            </w:r>
          </w:p>
        </w:tc>
        <w:tc>
          <w:tcPr>
            <w:tcW w:type="dxa" w:w="2160"/>
          </w:tcPr>
          <w:p>
            <w:r>
              <w:t>83</w:t>
            </w:r>
          </w:p>
        </w:tc>
        <w:tc>
          <w:tcPr>
            <w:tcW w:type="dxa" w:w="2160"/>
          </w:tcPr>
          <w:p>
            <w:r>
              <w:t>0</w:t>
            </w:r>
          </w:p>
        </w:tc>
      </w:tr>
      <w:tr>
        <w:tc>
          <w:tcPr>
            <w:tcW w:type="dxa" w:w="2160"/>
          </w:tcPr>
          <w:p>
            <w:r>
              <w:t>Offering</w:t>
            </w:r>
          </w:p>
        </w:tc>
        <w:tc>
          <w:tcPr>
            <w:tcW w:type="dxa" w:w="2160"/>
          </w:tcPr>
          <w:p>
            <w:r>
              <w:t>89</w:t>
            </w:r>
          </w:p>
        </w:tc>
        <w:tc>
          <w:tcPr>
            <w:tcW w:type="dxa" w:w="2160"/>
          </w:tcPr>
          <w:p>
            <w:r>
              <w:t>89</w:t>
            </w:r>
          </w:p>
        </w:tc>
        <w:tc>
          <w:tcPr>
            <w:tcW w:type="dxa" w:w="2160"/>
          </w:tcPr>
          <w:p>
            <w:r>
              <w:t>0</w:t>
            </w:r>
          </w:p>
        </w:tc>
      </w:tr>
      <w:tr>
        <w:tc>
          <w:tcPr>
            <w:tcW w:type="dxa" w:w="2160"/>
          </w:tcPr>
          <w:p>
            <w:r>
              <w:t>Intake</w:t>
            </w:r>
          </w:p>
        </w:tc>
        <w:tc>
          <w:tcPr>
            <w:tcW w:type="dxa" w:w="2160"/>
          </w:tcPr>
          <w:p>
            <w:r>
              <w:t>47</w:t>
            </w:r>
          </w:p>
        </w:tc>
        <w:tc>
          <w:tcPr>
            <w:tcW w:type="dxa" w:w="2160"/>
          </w:tcPr>
          <w:p>
            <w:r>
              <w:t>47</w:t>
            </w:r>
          </w:p>
        </w:tc>
        <w:tc>
          <w:tcPr>
            <w:tcW w:type="dxa" w:w="2160"/>
          </w:tcPr>
          <w:p>
            <w:r>
              <w:t>0</w:t>
            </w:r>
          </w:p>
        </w:tc>
      </w:tr>
    </w:tbl>
    <w:p>
      <w:r>
        <w:t>All 12 source-to-staging deltas are zero. The expected contact reduction is 1,165,332 golden people from 1,194,805 source contact records; the difference is the duplicate population resolved by the two-key entity model. The admissions fact contains 740,779 opportunity-grain rows and the campaign performance mart contains 480 campaign-grain rows.</w:t>
      </w:r>
    </w:p>
    <w:p>
      <w:r>
        <w:t>Financial reconciliation: campaign spend dimension R471,994,991.55 versus campaign fact R471,994,991.55 (MATCH); enrolment revenue staging R2,867,214,315.80 versus campaign fact R1,896,377,742.41 (REVIEW).</w:t>
      </w:r>
    </w:p>
    <w:p>
      <w:r>
        <w:t>The revenue REVIEW is explained by 103,218 enrolments carrying R970,836,573.39 without a primary campaign key. That amount remains in the enrolment staging total but cannot honestly be assigned to a campaign; the gap is R970,836,573.39, not a dropped record. Recommended solution: report this as an explicit unattributed segment, then improve campaign capture or backfill only from verified source evidence. Never distribute it across campaigns to force a match.</w:t>
      </w:r>
    </w:p>
    <w:p>
      <w:pPr>
        <w:pStyle w:val="Heading2"/>
        <w:spacing w:before="320"/>
      </w:pPr>
      <w:r>
        <w:rPr>
          <w:rFonts w:ascii="Calibri" w:hAnsi="Calibri"/>
          <w:b/>
          <w:color w:val="1D1D1B"/>
          <w:sz w:val="34"/>
        </w:rPr>
        <w:t>2.7  Where the demand actually is</w:t>
      </w:r>
    </w:p>
    <w:p>
      <w:r>
        <w:t>The catalogue is real, so programme demand is the one place where the synthetic pipeline meets Red &amp; Yellow's actual offering. These are the programmes carrying the most enrolments in the modelled pipeline, and the discount being conceded to win them.</w:t>
      </w:r>
    </w:p>
    <w:p>
      <w:pPr>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prog_demand.png"/>
                    <pic:cNvPicPr/>
                  </pic:nvPicPr>
                  <pic:blipFill>
                    <a:blip r:embed="rId17"/>
                    <a:stretch>
                      <a:fillRect/>
                    </a:stretch>
                  </pic:blipFill>
                  <pic:spPr>
                    <a:xfrm>
                      <a:off x="0" y="0"/>
                      <a:ext cx="5577840" cy="3137535"/>
                    </a:xfrm>
                    <a:prstGeom prst="rect"/>
                  </pic:spPr>
                </pic:pic>
              </a:graphicData>
            </a:graphic>
          </wp:inline>
        </w:drawing>
      </w:r>
    </w:p>
    <w:p>
      <w:pPr>
        <w:jc w:val="center"/>
      </w:pPr>
      <w:r>
        <w:rPr>
          <w:i/>
          <w:color w:val="60646B"/>
          <w:sz w:val="17"/>
        </w:rPr>
        <w:t>Figure 4a - Top programmes by enrolment, with average discount.</w:t>
      </w:r>
    </w:p>
    <w:p>
      <w:pPr>
        <w:pStyle w:val="Heading3"/>
        <w:spacing w:before="240"/>
      </w:pPr>
      <w:r>
        <w:rPr>
          <w:rFonts w:ascii="Calibri" w:hAnsi="Calibri"/>
          <w:b/>
          <w:color w:val="1D1D1B"/>
          <w:sz w:val="26"/>
        </w:rPr>
        <w:t>2.7.1  Course performance and early dropout risk</w:t>
      </w:r>
    </w:p>
    <w:p>
      <w:r>
        <w:t>Courses are ranked on the same first-four-week withdrawal model used in Power BI. Among cohorts with at least 100 records, Design Thinking has the lowest observed withdrawal rate (11.6%), while Part-Time Higher Certificate in Marketing and Branding is highest (13.3%). These are modelled synthetic cohorts, so the ranking is a prioritisation signal rather than a claim about the real institution.</w:t>
      </w:r>
    </w:p>
    <w:p>
      <w:r>
        <w:t>Use the ranking with attendance and assessment together: a course moves into early-warning review when first-month attendance falls below 65% or the predicted band is Elevated. Review cohort size, delivery mode and fee context before changing course marketing or student-support policy.</w:t>
      </w:r>
    </w:p>
    <w:p>
      <w:pPr>
        <w:jc w:val="center"/>
      </w:pPr>
      <w:r>
        <w:drawing>
          <wp:inline xmlns:a="http://schemas.openxmlformats.org/drawingml/2006/main" xmlns:pic="http://schemas.openxmlformats.org/drawingml/2006/picture">
            <wp:extent cx="5577840" cy="3224689"/>
            <wp:docPr id="10" name="Picture 10"/>
            <wp:cNvGraphicFramePr>
              <a:graphicFrameLocks noChangeAspect="1"/>
            </wp:cNvGraphicFramePr>
            <a:graphic>
              <a:graphicData uri="http://schemas.openxmlformats.org/drawingml/2006/picture">
                <pic:pic>
                  <pic:nvPicPr>
                    <pic:cNvPr id="0" name="prog_risk.png"/>
                    <pic:cNvPicPr/>
                  </pic:nvPicPr>
                  <pic:blipFill>
                    <a:blip r:embed="rId18"/>
                    <a:stretch>
                      <a:fillRect/>
                    </a:stretch>
                  </pic:blipFill>
                  <pic:spPr>
                    <a:xfrm>
                      <a:off x="0" y="0"/>
                      <a:ext cx="5577840" cy="3224689"/>
                    </a:xfrm>
                    <a:prstGeom prst="rect"/>
                  </pic:spPr>
                </pic:pic>
              </a:graphicData>
            </a:graphic>
          </wp:inline>
        </w:drawing>
      </w:r>
    </w:p>
    <w:p>
      <w:pPr>
        <w:jc w:val="center"/>
      </w:pPr>
      <w:r>
        <w:rPr>
          <w:i/>
          <w:color w:val="60646B"/>
          <w:sz w:val="17"/>
        </w:rPr>
        <w:t>Figure 4a - Lowest- and highest-withdrawal courses among modelled cohorts of at least 100 records.</w:t>
      </w:r>
    </w:p>
    <w:p>
      <w:pPr>
        <w:pStyle w:val="Heading3"/>
        <w:spacing w:before="240"/>
      </w:pPr>
      <w:r>
        <w:rPr>
          <w:rFonts w:ascii="Calibri" w:hAnsi="Calibri"/>
          <w:b/>
          <w:color w:val="1D1D1B"/>
          <w:sz w:val="26"/>
        </w:rPr>
        <w:t>2.7.2  Who is enrolling, and from where</w:t>
      </w:r>
    </w:p>
    <w:p>
      <w:r>
        <w:t>Province is one of the dirtiest fields in the source - 'Western Cape', 'western cape', 'W Cape', 'WC' and 'Wes-Kaap' all arrive - and one of the most useful once collapsed. Anything that cannot be resolved is kept as Unknown rather than guessed at.</w:t>
      </w:r>
    </w:p>
    <w:p>
      <w:pPr>
        <w:jc w:val="center"/>
      </w:pPr>
      <w:r>
        <w:drawing>
          <wp:inline xmlns:a="http://schemas.openxmlformats.org/drawingml/2006/main" xmlns:pic="http://schemas.openxmlformats.org/drawingml/2006/picture">
            <wp:extent cx="5577840" cy="2527459"/>
            <wp:docPr id="11" name="Picture 11"/>
            <wp:cNvGraphicFramePr>
              <a:graphicFrameLocks noChangeAspect="1"/>
            </wp:cNvGraphicFramePr>
            <a:graphic>
              <a:graphicData uri="http://schemas.openxmlformats.org/drawingml/2006/picture">
                <pic:pic>
                  <pic:nvPicPr>
                    <pic:cNvPr id="0" name="province.png"/>
                    <pic:cNvPicPr/>
                  </pic:nvPicPr>
                  <pic:blipFill>
                    <a:blip r:embed="rId19"/>
                    <a:stretch>
                      <a:fillRect/>
                    </a:stretch>
                  </pic:blipFill>
                  <pic:spPr>
                    <a:xfrm>
                      <a:off x="0" y="0"/>
                      <a:ext cx="5577840" cy="2527459"/>
                    </a:xfrm>
                    <a:prstGeom prst="rect"/>
                  </pic:spPr>
                </pic:pic>
              </a:graphicData>
            </a:graphic>
          </wp:inline>
        </w:drawing>
      </w:r>
    </w:p>
    <w:p>
      <w:pPr>
        <w:jc w:val="center"/>
      </w:pPr>
      <w:r>
        <w:rPr>
          <w:i/>
          <w:color w:val="60646B"/>
          <w:sz w:val="17"/>
        </w:rPr>
        <w:t>Figure 4b - Enrolments by province, after the spelling variants are collapsed to the nine official names.</w:t>
      </w:r>
    </w:p>
    <w:p>
      <w:pPr>
        <w:jc w:val="center"/>
      </w:pPr>
      <w:r>
        <w:drawing>
          <wp:inline xmlns:a="http://schemas.openxmlformats.org/drawingml/2006/main" xmlns:pic="http://schemas.openxmlformats.org/drawingml/2006/picture">
            <wp:extent cx="5577840" cy="3129944"/>
            <wp:docPr id="12" name="Picture 12"/>
            <wp:cNvGraphicFramePr>
              <a:graphicFrameLocks noChangeAspect="1"/>
            </wp:cNvGraphicFramePr>
            <a:graphic>
              <a:graphicData uri="http://schemas.openxmlformats.org/drawingml/2006/picture">
                <pic:pic>
                  <pic:nvPicPr>
                    <pic:cNvPr id="0" name="student-cohort.jfif"/>
                    <pic:cNvPicPr/>
                  </pic:nvPicPr>
                  <pic:blipFill>
                    <a:blip r:embed="rId20"/>
                    <a:stretch>
                      <a:fillRect/>
                    </a:stretch>
                  </pic:blipFill>
                  <pic:spPr>
                    <a:xfrm>
                      <a:off x="0" y="0"/>
                      <a:ext cx="5577840" cy="3129944"/>
                    </a:xfrm>
                    <a:prstGeom prst="rect"/>
                  </pic:spPr>
                </pic:pic>
              </a:graphicData>
            </a:graphic>
          </wp:inline>
        </w:drawing>
      </w:r>
    </w:p>
    <w:p>
      <w:pPr>
        <w:jc w:val="center"/>
      </w:pPr>
      <w:r>
        <w:rPr>
          <w:i/>
          <w:color w:val="60646B"/>
          <w:sz w:val="17"/>
        </w:rPr>
        <w:t>Red &amp; Yellow student community — supplied brand image used as context for the learner journey.</w:t>
      </w:r>
    </w:p>
    <w:p>
      <w:pPr>
        <w:pStyle w:val="Heading3"/>
        <w:spacing w:before="240"/>
      </w:pPr>
      <w:r>
        <w:rPr>
          <w:rFonts w:ascii="Calibri" w:hAnsi="Calibri"/>
          <w:b/>
          <w:color w:val="1D1D1B"/>
          <w:sz w:val="26"/>
        </w:rPr>
        <w:t>2.7.3  The funnel as conversion, not counts</w:t>
      </w:r>
    </w:p>
    <w:p>
      <w:r>
        <w:t>Absolute counts down a funnel flatter the top of it. The rates between stages are what a marketing team can act on.</w:t>
      </w:r>
    </w:p>
    <w:p>
      <w:pPr>
        <w:jc w:val="center"/>
      </w:pPr>
      <w:r>
        <w:drawing>
          <wp:inline xmlns:a="http://schemas.openxmlformats.org/drawingml/2006/main" xmlns:pic="http://schemas.openxmlformats.org/drawingml/2006/picture">
            <wp:extent cx="5577840" cy="2265998"/>
            <wp:docPr id="13" name="Picture 13"/>
            <wp:cNvGraphicFramePr>
              <a:graphicFrameLocks noChangeAspect="1"/>
            </wp:cNvGraphicFramePr>
            <a:graphic>
              <a:graphicData uri="http://schemas.openxmlformats.org/drawingml/2006/picture">
                <pic:pic>
                  <pic:nvPicPr>
                    <pic:cNvPr id="0" name="conversion.png"/>
                    <pic:cNvPicPr/>
                  </pic:nvPicPr>
                  <pic:blipFill>
                    <a:blip r:embed="rId21"/>
                    <a:stretch>
                      <a:fillRect/>
                    </a:stretch>
                  </pic:blipFill>
                  <pic:spPr>
                    <a:xfrm>
                      <a:off x="0" y="0"/>
                      <a:ext cx="5577840" cy="2265998"/>
                    </a:xfrm>
                    <a:prstGeom prst="rect"/>
                  </pic:spPr>
                </pic:pic>
              </a:graphicData>
            </a:graphic>
          </wp:inline>
        </w:drawing>
      </w:r>
    </w:p>
    <w:p>
      <w:pPr>
        <w:jc w:val="center"/>
      </w:pPr>
      <w:r>
        <w:rPr>
          <w:i/>
          <w:color w:val="60646B"/>
          <w:sz w:val="17"/>
        </w:rPr>
        <w:t>Figure 4c - Stage-to-stage conversion through the admissions pipeline.</w:t>
      </w:r>
    </w:p>
    <w:p>
      <w:pPr>
        <w:pStyle w:val="Heading2"/>
        <w:spacing w:before="320"/>
      </w:pPr>
      <w:r>
        <w:rPr>
          <w:rFonts w:ascii="Calibri" w:hAnsi="Calibri"/>
          <w:b/>
          <w:color w:val="1D1D1B"/>
          <w:sz w:val="34"/>
        </w:rPr>
        <w:t>2.8  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pStyle w:val="Heading2"/>
        <w:spacing w:before="320"/>
      </w:pPr>
      <w:r>
        <w:rPr>
          <w:rFonts w:ascii="Calibri" w:hAnsi="Calibri"/>
          <w:b/>
          <w:color w:val="1D1D1B"/>
          <w:sz w:val="34"/>
        </w:rPr>
        <w:t>2.9  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pStyle w:val="Heading2"/>
        <w:spacing w:before="320"/>
      </w:pPr>
      <w:r>
        <w:rPr>
          <w:rFonts w:ascii="Calibri" w:hAnsi="Calibri"/>
          <w:b/>
          <w:color w:val="1D1D1B"/>
          <w:sz w:val="34"/>
        </w:rPr>
        <w:t>2.10  The pipeline, end to end</w:t>
      </w:r>
    </w:p>
    <w:p>
      <w:pPr>
        <w:pStyle w:val="ListBullet"/>
      </w:pPr>
      <w:r>
        <w:rPr>
          <w:b/>
          <w:color w:val="F52635"/>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F52635"/>
        </w:rPr>
        <w:t xml:space="preserve">Land. </w:t>
      </w:r>
      <w:r>
        <w:t>Records are batched and written to the OneLake bronze layer, partitioned by object and ingest date. Failures retry three times before parking.</w:t>
      </w:r>
    </w:p>
    <w:p>
      <w:pPr>
        <w:pStyle w:val="ListBullet"/>
      </w:pPr>
      <w:r>
        <w:rPr>
          <w:b/>
          <w:color w:val="F52635"/>
        </w:rPr>
        <w:t xml:space="preserve">Transform. </w:t>
      </w:r>
      <w:r>
        <w:t>dbt cleanses once in staging - email validation, E.164 phone normalisation, province collapsing, entity resolution - then builds marts that assume clean inputs.</w:t>
      </w:r>
    </w:p>
    <w:p>
      <w:pPr>
        <w:pStyle w:val="ListBullet"/>
      </w:pPr>
      <w:r>
        <w:rPr>
          <w:b/>
          <w:color w:val="F52635"/>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F52635"/>
        </w:rPr>
        <w:t xml:space="preserve">Document. </w:t>
      </w:r>
      <w:r>
        <w:t>dbt docs generate produces the searchable catalogue with column-level lineage, so documentation is a build artefact rather than a wiki page that drifts.</w:t>
      </w:r>
    </w:p>
    <w:p>
      <w:pPr>
        <w:pStyle w:val="ListBullet"/>
      </w:pPr>
      <w:r>
        <w:rPr>
          <w:b/>
          <w:color w:val="F52635"/>
        </w:rPr>
        <w:t xml:space="preserve">Report. </w:t>
      </w:r>
      <w:r>
        <w:t>Power BI reads the curated marts. Every measure resolves to a tested model, not to a query written in the report.</w:t>
      </w:r>
    </w:p>
    <w:p>
      <w:r>
        <w:br w:type="page"/>
      </w:r>
    </w:p>
    <w:p>
      <w:pPr>
        <w:pStyle w:val="Heading1"/>
        <w:spacing w:before="0"/>
      </w:pPr>
      <w:r>
        <w:rPr>
          <w:rFonts w:ascii="Calibri" w:hAnsi="Calibri"/>
          <w:b/>
          <w:color w:val="F52635"/>
          <w:sz w:val="40"/>
        </w:rPr>
        <w:t>3  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pStyle w:val="Heading2"/>
        <w:spacing w:before="280"/>
      </w:pPr>
      <w:r>
        <w:rPr>
          <w:rFonts w:ascii="Calibri" w:hAnsi="Calibri"/>
          <w:b/>
          <w:color w:val="1D1D1B"/>
          <w:sz w:val="32"/>
        </w:rPr>
        <w:t>3.1  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jc w:val="center"/>
      </w:pPr>
      <w:r>
        <w:drawing>
          <wp:inline xmlns:a="http://schemas.openxmlformats.org/drawingml/2006/main" xmlns:pic="http://schemas.openxmlformats.org/drawingml/2006/picture">
            <wp:extent cx="5577840" cy="3078579"/>
            <wp:docPr id="14" name="Picture 14"/>
            <wp:cNvGraphicFramePr>
              <a:graphicFrameLocks noChangeAspect="1"/>
            </wp:cNvGraphicFramePr>
            <a:graphic>
              <a:graphicData uri="http://schemas.openxmlformats.org/drawingml/2006/picture">
                <pic:pic>
                  <pic:nvPicPr>
                    <pic:cNvPr id="0" name="ev_01_org_check.png"/>
                    <pic:cNvPicPr/>
                  </pic:nvPicPr>
                  <pic:blipFill>
                    <a:blip r:embed="rId22"/>
                    <a:stretch>
                      <a:fillRect/>
                    </a:stretch>
                  </pic:blipFill>
                  <pic:spPr>
                    <a:xfrm>
                      <a:off x="0" y="0"/>
                      <a:ext cx="5577840" cy="3078579"/>
                    </a:xfrm>
                    <a:prstGeom prst="rect"/>
                  </pic:spPr>
                </pic:pic>
              </a:graphicData>
            </a:graphic>
          </wp:inline>
        </w:drawing>
      </w:r>
    </w:p>
    <w:p>
      <w:pPr>
        <w:jc w:val="center"/>
      </w:pPr>
      <w:r>
        <w:rPr>
          <w:i/>
          <w:color w:val="60646B"/>
          <w:sz w:val="17"/>
        </w:rPr>
        <w:t>Figure 5 - The org capability check. Base Edition, 10.6 GB free, and a NO-GO on custom objects.</w:t>
      </w:r>
    </w:p>
    <w:p>
      <w:pPr>
        <w:pStyle w:val="Heading2"/>
        <w:spacing w:before="240"/>
      </w:pPr>
      <w:r>
        <w:rPr>
          <w:rFonts w:ascii="Calibri" w:hAnsi="Calibri"/>
          <w:b/>
          <w:color w:val="1D1D1B"/>
          <w:sz w:val="32"/>
        </w:rPr>
        <w:t>3.2  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jc w:val="center"/>
      </w:pPr>
      <w:r>
        <w:drawing>
          <wp:inline xmlns:a="http://schemas.openxmlformats.org/drawingml/2006/main" xmlns:pic="http://schemas.openxmlformats.org/drawingml/2006/picture">
            <wp:extent cx="5577840" cy="2939058"/>
            <wp:docPr id="15" name="Picture 15"/>
            <wp:cNvGraphicFramePr>
              <a:graphicFrameLocks noChangeAspect="1"/>
            </wp:cNvGraphicFramePr>
            <a:graphic>
              <a:graphicData uri="http://schemas.openxmlformats.org/drawingml/2006/picture">
                <pic:pic>
                  <pic:nvPicPr>
                    <pic:cNvPr id="0" name="ev_02_metadata_validate.png"/>
                    <pic:cNvPicPr/>
                  </pic:nvPicPr>
                  <pic:blipFill>
                    <a:blip r:embed="rId23"/>
                    <a:stretch>
                      <a:fillRect/>
                    </a:stretch>
                  </pic:blipFill>
                  <pic:spPr>
                    <a:xfrm>
                      <a:off x="0" y="0"/>
                      <a:ext cx="5577840" cy="2939058"/>
                    </a:xfrm>
                    <a:prstGeom prst="rect"/>
                  </pic:spPr>
                </pic:pic>
              </a:graphicData>
            </a:graphic>
          </wp:inline>
        </w:drawing>
      </w:r>
    </w:p>
    <w:p>
      <w:pPr>
        <w:jc w:val="center"/>
      </w:pPr>
      <w:r>
        <w:rPr>
          <w:i/>
          <w:color w:val="60646B"/>
          <w:sz w:val="17"/>
        </w:rPr>
        <w:t>Figure 6 - Metadata validated against the org. 18 of 18 components.</w:t>
      </w:r>
    </w:p>
    <w:p>
      <w:pPr>
        <w:pStyle w:val="Heading2"/>
        <w:spacing w:before="240"/>
      </w:pPr>
      <w:r>
        <w:rPr>
          <w:rFonts w:ascii="Calibri" w:hAnsi="Calibri"/>
          <w:b/>
          <w:color w:val="1D1D1B"/>
          <w:sz w:val="32"/>
        </w:rPr>
        <w:t>3.3  3. Load the operational CRM slice</w:t>
      </w:r>
    </w:p>
    <w:p>
      <w:r>
        <w:t>The supplied Salesforce Data Types reference was applied at the system boundary: Accounts, Contacts, Leads and Opportunities are operational CRM records, while raw GA4/clickstream events, detailed history and ML training data stay in the warehouse. These four standard objects were upserted on an external ID so the load is idempotent - re-running updates rather than duplicates. Two things pushed back, and both were right to. Salesforce rejects the external ID in the request body when it is already the key in the URL. Its duplicate rules also blocked leads that fuzzy-matched existing contacts at 100% confidence - the same duplicates the warehouse's own entity resolution finds, caught independently by the CRM.</w:t>
      </w:r>
    </w:p>
    <w:p>
      <w:r>
        <w:t>Live reconciliation on 10 September 2026 found 25 Accounts, 408 Contacts, 408 Leads and 250 Opportunities: 1,091 tagged records in total, with every count matching run_results/import_log.json. The Base Edition org cannot host the proposed custom Programme, Application, Student, Enrolment or Progress objects, and it does not support the campaign load in this reduced path. Those detailed objects remain in the warehouse until a Developer Edition or another edition with the required object entitlements is selected.</w:t>
      </w:r>
    </w:p>
    <w:p>
      <w:r>
        <w:t>Keep the populations separate when reading this report. The staged CRM sample pack in data/crm_load contains 48 Campaigns, 74 CampaignMembers, 162 Applications, 84 Enrolments, 192 Programme Enquiries, 81 Students and 192 Student Progress rows; these are not live Salesforce records in the Base Edition org. The larger synthetic analytics population lives in warehouse/raw, Fabric raw_salesforce and the DuckDB gold model used by Power BI, Excel and this ebook.</w:t>
      </w:r>
    </w:p>
    <w:p>
      <w:pPr>
        <w:jc w:val="center"/>
      </w:pPr>
      <w:r>
        <w:drawing>
          <wp:inline xmlns:a="http://schemas.openxmlformats.org/drawingml/2006/main" xmlns:pic="http://schemas.openxmlformats.org/drawingml/2006/picture">
            <wp:extent cx="5577840" cy="2368838"/>
            <wp:docPr id="16" name="Picture 16"/>
            <wp:cNvGraphicFramePr>
              <a:graphicFrameLocks noChangeAspect="1"/>
            </wp:cNvGraphicFramePr>
            <a:graphic>
              <a:graphicData uri="http://schemas.openxmlformats.org/drawingml/2006/picture">
                <pic:pic>
                  <pic:nvPicPr>
                    <pic:cNvPr id="0" name="ev_03_import_result.png"/>
                    <pic:cNvPicPr/>
                  </pic:nvPicPr>
                  <pic:blipFill>
                    <a:blip r:embed="rId24"/>
                    <a:stretch>
                      <a:fillRect/>
                    </a:stretch>
                  </pic:blipFill>
                  <pic:spPr>
                    <a:xfrm>
                      <a:off x="0" y="0"/>
                      <a:ext cx="5577840" cy="2368838"/>
                    </a:xfrm>
                    <a:prstGeom prst="rect"/>
                  </pic:spPr>
                </pic:pic>
              </a:graphicData>
            </a:graphic>
          </wp:inline>
        </w:drawing>
      </w:r>
    </w:p>
    <w:p>
      <w:pPr>
        <w:jc w:val="center"/>
      </w:pPr>
      <w:r>
        <w:rPr>
          <w:i/>
          <w:color w:val="60646B"/>
          <w:sz w:val="17"/>
        </w:rPr>
        <w:t>Figure 7 - What the loader wrote.</w:t>
      </w:r>
    </w:p>
    <w:p>
      <w:pPr>
        <w:jc w:val="center"/>
      </w:pPr>
      <w:r>
        <w:drawing>
          <wp:inline xmlns:a="http://schemas.openxmlformats.org/drawingml/2006/main" xmlns:pic="http://schemas.openxmlformats.org/drawingml/2006/picture">
            <wp:extent cx="5577840" cy="2939058"/>
            <wp:docPr id="17" name="Picture 17"/>
            <wp:cNvGraphicFramePr>
              <a:graphicFrameLocks noChangeAspect="1"/>
            </wp:cNvGraphicFramePr>
            <a:graphic>
              <a:graphicData uri="http://schemas.openxmlformats.org/drawingml/2006/picture">
                <pic:pic>
                  <pic:nvPicPr>
                    <pic:cNvPr id="0" name="ev_04_org_counts.png"/>
                    <pic:cNvPicPr/>
                  </pic:nvPicPr>
                  <pic:blipFill>
                    <a:blip r:embed="rId25"/>
                    <a:stretch>
                      <a:fillRect/>
                    </a:stretch>
                  </pic:blipFill>
                  <pic:spPr>
                    <a:xfrm>
                      <a:off x="0" y="0"/>
                      <a:ext cx="5577840" cy="2939058"/>
                    </a:xfrm>
                    <a:prstGeom prst="rect"/>
                  </pic:spPr>
                </pic:pic>
              </a:graphicData>
            </a:graphic>
          </wp:inline>
        </w:drawing>
      </w:r>
    </w:p>
    <w:p>
      <w:pPr>
        <w:jc w:val="center"/>
      </w:pPr>
      <w:r>
        <w:rPr>
          <w:i/>
          <w:color w:val="60646B"/>
          <w:sz w:val="17"/>
        </w:rPr>
        <w:t>Figure 8 - What is actually in the org, queried back through the API. The loader's claim and the org's state are different assertions; only the second is evidence.</w:t>
      </w:r>
    </w:p>
    <w:p>
      <w:pPr>
        <w:pStyle w:val="Heading2"/>
        <w:spacing w:before="240"/>
      </w:pPr>
      <w:r>
        <w:rPr>
          <w:rFonts w:ascii="Calibri" w:hAnsi="Calibri"/>
          <w:b/>
          <w:color w:val="1D1D1B"/>
          <w:sz w:val="32"/>
        </w:rPr>
        <w:t>3.4  4. Salesforce record evidence</w:t>
      </w:r>
    </w:p>
    <w:p>
      <w:r>
        <w:t>The following panels show the exact non-deleted record counts queried from the authenticated Salesforce extract. Browser tabs and the Windows taskbar are intentionally removed so the evidence is readable in the ebook. Each panel shows representative rows and the verified total; it is evidence of the live standard-object slice, not the staged custom-object sample pack.</w:t>
      </w:r>
    </w:p>
    <w:p>
      <w:pPr>
        <w:jc w:val="center"/>
      </w:pPr>
      <w:r>
        <w:drawing>
          <wp:inline xmlns:a="http://schemas.openxmlformats.org/drawingml/2006/main" xmlns:pic="http://schemas.openxmlformats.org/drawingml/2006/picture">
            <wp:extent cx="5577840" cy="3137535"/>
            <wp:docPr id="18" name="Picture 18"/>
            <wp:cNvGraphicFramePr>
              <a:graphicFrameLocks noChangeAspect="1"/>
            </wp:cNvGraphicFramePr>
            <a:graphic>
              <a:graphicData uri="http://schemas.openxmlformats.org/drawingml/2006/picture">
                <pic:pic>
                  <pic:nvPicPr>
                    <pic:cNvPr id="0" name="08_Salesforce_accounts_verified.png"/>
                    <pic:cNvPicPr/>
                  </pic:nvPicPr>
                  <pic:blipFill>
                    <a:blip r:embed="rId26"/>
                    <a:stretch>
                      <a:fillRect/>
                    </a:stretch>
                  </pic:blipFill>
                  <pic:spPr>
                    <a:xfrm>
                      <a:off x="0" y="0"/>
                      <a:ext cx="5577840" cy="3137535"/>
                    </a:xfrm>
                    <a:prstGeom prst="rect"/>
                  </pic:spPr>
                </pic:pic>
              </a:graphicData>
            </a:graphic>
          </wp:inline>
        </w:drawing>
      </w:r>
    </w:p>
    <w:p>
      <w:pPr>
        <w:jc w:val="center"/>
      </w:pPr>
      <w:r>
        <w:rPr>
          <w:i/>
          <w:color w:val="60646B"/>
          <w:sz w:val="17"/>
        </w:rPr>
        <w:t>Figure 9 - Salesforce Accounts evidence: 25 verified records.</w:t>
      </w:r>
    </w:p>
    <w:p>
      <w:pPr>
        <w:jc w:val="center"/>
      </w:pPr>
      <w:r>
        <w:drawing>
          <wp:inline xmlns:a="http://schemas.openxmlformats.org/drawingml/2006/main" xmlns:pic="http://schemas.openxmlformats.org/drawingml/2006/picture">
            <wp:extent cx="5577840" cy="3137535"/>
            <wp:docPr id="19" name="Picture 19"/>
            <wp:cNvGraphicFramePr>
              <a:graphicFrameLocks noChangeAspect="1"/>
            </wp:cNvGraphicFramePr>
            <a:graphic>
              <a:graphicData uri="http://schemas.openxmlformats.org/drawingml/2006/picture">
                <pic:pic>
                  <pic:nvPicPr>
                    <pic:cNvPr id="0" name="09_Salesforce_contacts_verified.png"/>
                    <pic:cNvPicPr/>
                  </pic:nvPicPr>
                  <pic:blipFill>
                    <a:blip r:embed="rId27"/>
                    <a:stretch>
                      <a:fillRect/>
                    </a:stretch>
                  </pic:blipFill>
                  <pic:spPr>
                    <a:xfrm>
                      <a:off x="0" y="0"/>
                      <a:ext cx="5577840" cy="3137535"/>
                    </a:xfrm>
                    <a:prstGeom prst="rect"/>
                  </pic:spPr>
                </pic:pic>
              </a:graphicData>
            </a:graphic>
          </wp:inline>
        </w:drawing>
      </w:r>
    </w:p>
    <w:p>
      <w:pPr>
        <w:jc w:val="center"/>
      </w:pPr>
      <w:r>
        <w:rPr>
          <w:i/>
          <w:color w:val="60646B"/>
          <w:sz w:val="17"/>
        </w:rPr>
        <w:t>Figure 10 - Salesforce Contacts evidence: 408 verified records.</w:t>
      </w:r>
    </w:p>
    <w:p>
      <w:pPr>
        <w:jc w:val="center"/>
      </w:pPr>
      <w:r>
        <w:drawing>
          <wp:inline xmlns:a="http://schemas.openxmlformats.org/drawingml/2006/main" xmlns:pic="http://schemas.openxmlformats.org/drawingml/2006/picture">
            <wp:extent cx="5577840" cy="3137535"/>
            <wp:docPr id="20" name="Picture 20"/>
            <wp:cNvGraphicFramePr>
              <a:graphicFrameLocks noChangeAspect="1"/>
            </wp:cNvGraphicFramePr>
            <a:graphic>
              <a:graphicData uri="http://schemas.openxmlformats.org/drawingml/2006/picture">
                <pic:pic>
                  <pic:nvPicPr>
                    <pic:cNvPr id="0" name="10_Salesforce_leads_verified.png"/>
                    <pic:cNvPicPr/>
                  </pic:nvPicPr>
                  <pic:blipFill>
                    <a:blip r:embed="rId28"/>
                    <a:stretch>
                      <a:fillRect/>
                    </a:stretch>
                  </pic:blipFill>
                  <pic:spPr>
                    <a:xfrm>
                      <a:off x="0" y="0"/>
                      <a:ext cx="5577840" cy="3137535"/>
                    </a:xfrm>
                    <a:prstGeom prst="rect"/>
                  </pic:spPr>
                </pic:pic>
              </a:graphicData>
            </a:graphic>
          </wp:inline>
        </w:drawing>
      </w:r>
    </w:p>
    <w:p>
      <w:pPr>
        <w:jc w:val="center"/>
      </w:pPr>
      <w:r>
        <w:rPr>
          <w:i/>
          <w:color w:val="60646B"/>
          <w:sz w:val="17"/>
        </w:rPr>
        <w:t>Figure 11 - Salesforce Leads evidence: 408 verified records.</w:t>
      </w:r>
    </w:p>
    <w:p>
      <w:pPr>
        <w:jc w:val="center"/>
      </w:pPr>
      <w:r>
        <w:drawing>
          <wp:inline xmlns:a="http://schemas.openxmlformats.org/drawingml/2006/main" xmlns:pic="http://schemas.openxmlformats.org/drawingml/2006/picture">
            <wp:extent cx="5577840" cy="3137535"/>
            <wp:docPr id="21" name="Picture 21"/>
            <wp:cNvGraphicFramePr>
              <a:graphicFrameLocks noChangeAspect="1"/>
            </wp:cNvGraphicFramePr>
            <a:graphic>
              <a:graphicData uri="http://schemas.openxmlformats.org/drawingml/2006/picture">
                <pic:pic>
                  <pic:nvPicPr>
                    <pic:cNvPr id="0" name="11_Salesforce_opportunities_verified.png"/>
                    <pic:cNvPicPr/>
                  </pic:nvPicPr>
                  <pic:blipFill>
                    <a:blip r:embed="rId29"/>
                    <a:stretch>
                      <a:fillRect/>
                    </a:stretch>
                  </pic:blipFill>
                  <pic:spPr>
                    <a:xfrm>
                      <a:off x="0" y="0"/>
                      <a:ext cx="5577840" cy="3137535"/>
                    </a:xfrm>
                    <a:prstGeom prst="rect"/>
                  </pic:spPr>
                </pic:pic>
              </a:graphicData>
            </a:graphic>
          </wp:inline>
        </w:drawing>
      </w:r>
    </w:p>
    <w:p>
      <w:pPr>
        <w:jc w:val="center"/>
      </w:pPr>
      <w:r>
        <w:rPr>
          <w:i/>
          <w:color w:val="60646B"/>
          <w:sz w:val="17"/>
        </w:rPr>
        <w:t>Figure 12 - Salesforce Opportunities evidence: 250 verified records.</w:t>
      </w:r>
    </w:p>
    <w:p>
      <w:pPr>
        <w:pStyle w:val="Heading2"/>
        <w:spacing w:before="240"/>
      </w:pPr>
      <w:r>
        <w:rPr>
          <w:rFonts w:ascii="Calibri" w:hAnsi="Calibri"/>
          <w:b/>
          <w:color w:val="1D1D1B"/>
          <w:sz w:val="32"/>
        </w:rPr>
        <w:t>3.5  5.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jc w:val="center"/>
      </w:pPr>
      <w:r>
        <w:drawing>
          <wp:inline xmlns:a="http://schemas.openxmlformats.org/drawingml/2006/main" xmlns:pic="http://schemas.openxmlformats.org/drawingml/2006/picture">
            <wp:extent cx="5577840" cy="2226283"/>
            <wp:docPr id="22" name="Picture 22"/>
            <wp:cNvGraphicFramePr>
              <a:graphicFrameLocks noChangeAspect="1"/>
            </wp:cNvGraphicFramePr>
            <a:graphic>
              <a:graphicData uri="http://schemas.openxmlformats.org/drawingml/2006/picture">
                <pic:pic>
                  <pic:nvPicPr>
                    <pic:cNvPr id="0" name="ev_05_extraction.png"/>
                    <pic:cNvPicPr/>
                  </pic:nvPicPr>
                  <pic:blipFill>
                    <a:blip r:embed="rId30"/>
                    <a:stretch>
                      <a:fillRect/>
                    </a:stretch>
                  </pic:blipFill>
                  <pic:spPr>
                    <a:xfrm>
                      <a:off x="0" y="0"/>
                      <a:ext cx="5577840" cy="2226283"/>
                    </a:xfrm>
                    <a:prstGeom prst="rect"/>
                  </pic:spPr>
                </pic:pic>
              </a:graphicData>
            </a:graphic>
          </wp:inline>
        </w:drawing>
      </w:r>
    </w:p>
    <w:p>
      <w:pPr>
        <w:jc w:val="center"/>
      </w:pPr>
      <w:r>
        <w:rPr>
          <w:i/>
          <w:color w:val="60646B"/>
          <w:sz w:val="17"/>
        </w:rPr>
        <w:t>Figure 9 - Extraction manifest. Every row carries its source system, source id, source update time and extraction time.</w:t>
      </w:r>
    </w:p>
    <w:p>
      <w:pPr>
        <w:pStyle w:val="Heading2"/>
        <w:spacing w:before="240"/>
      </w:pPr>
      <w:r>
        <w:rPr>
          <w:rFonts w:ascii="Calibri" w:hAnsi="Calibri"/>
          <w:b/>
          <w:color w:val="1D1D1B"/>
          <w:sz w:val="32"/>
        </w:rPr>
        <w:t>3.6  6. Transform, test, and report</w:t>
      </w:r>
    </w:p>
    <w:p>
      <w:r>
        <w:t>From there the extracted data joins the same warehouse the synthetic history lives in, is cleansed once in staging, and is consumed by marts that Power BI reads directly. The tests run on every build.</w:t>
      </w:r>
    </w:p>
    <w:p>
      <w:pPr>
        <w:jc w:val="center"/>
      </w:pPr>
      <w:r>
        <w:drawing>
          <wp:inline xmlns:a="http://schemas.openxmlformats.org/drawingml/2006/main" xmlns:pic="http://schemas.openxmlformats.org/drawingml/2006/picture">
            <wp:extent cx="5577840" cy="1798618"/>
            <wp:docPr id="23" name="Picture 23"/>
            <wp:cNvGraphicFramePr>
              <a:graphicFrameLocks noChangeAspect="1"/>
            </wp:cNvGraphicFramePr>
            <a:graphic>
              <a:graphicData uri="http://schemas.openxmlformats.org/drawingml/2006/picture">
                <pic:pic>
                  <pic:nvPicPr>
                    <pic:cNvPr id="0" name="ev_06_dbt_tests.png"/>
                    <pic:cNvPicPr/>
                  </pic:nvPicPr>
                  <pic:blipFill>
                    <a:blip r:embed="rId31"/>
                    <a:stretch>
                      <a:fillRect/>
                    </a:stretch>
                  </pic:blipFill>
                  <pic:spPr>
                    <a:xfrm>
                      <a:off x="0" y="0"/>
                      <a:ext cx="5577840" cy="1798618"/>
                    </a:xfrm>
                    <a:prstGeom prst="rect"/>
                  </pic:spPr>
                </pic:pic>
              </a:graphicData>
            </a:graphic>
          </wp:inline>
        </w:drawing>
      </w:r>
    </w:p>
    <w:p>
      <w:pPr>
        <w:jc w:val="center"/>
      </w:pPr>
      <w:r>
        <w:rPr>
          <w:i/>
          <w:color w:val="60646B"/>
          <w:sz w:val="17"/>
        </w:rPr>
        <w:t>Figure 10 - dbt build: models and data tests.</w:t>
      </w:r>
    </w:p>
    <w:p>
      <w:r>
        <w:t>The reproducible run record, delivery-mode check and DuckDB/Fabric scope are documented in docs/DBT_EVIDENCE.md.</w:t>
      </w:r>
    </w:p>
    <w:p>
      <w:r>
        <w:br w:type="page"/>
      </w:r>
    </w:p>
    <w:p>
      <w:pPr>
        <w:pStyle w:val="Heading1"/>
        <w:spacing w:before="0"/>
      </w:pPr>
      <w:r>
        <w:rPr>
          <w:rFonts w:ascii="Calibri" w:hAnsi="Calibri"/>
          <w:b/>
          <w:color w:val="F52635"/>
          <w:sz w:val="40"/>
        </w:rPr>
        <w:t>4  Two models, and what they are worth</w:t>
      </w:r>
    </w:p>
    <w:p>
      <w:r>
        <w:t>Both models are split by time rather than at random, and restricted to what is known at the moment a decision is made. The lead model cannot see the opportunity a lead later generated; the withdrawal model sees only the first four weeks. Leaking a downstream outcome into the features is the easiest way to build a model with a beautiful score and no use whatever.</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Base rate</w:t>
            </w:r>
          </w:p>
        </w:tc>
        <w:tc>
          <w:tcPr>
            <w:tcW w:type="dxa" w:w="1728"/>
          </w:tcPr>
          <w:p>
            <w:r>
              <w:t>AUC</w:t>
            </w:r>
          </w:p>
        </w:tc>
        <w:tc>
          <w:tcPr>
            <w:tcW w:type="dxa" w:w="1728"/>
          </w:tcPr>
          <w:p>
            <w:r>
              <w:t>PR-AUC</w:t>
            </w:r>
          </w:p>
        </w:tc>
        <w:tc>
          <w:tcPr>
            <w:tcW w:type="dxa" w:w="1728"/>
          </w:tcPr>
          <w:p>
            <w:r>
              <w:t>Top-decile lift</w:t>
            </w:r>
          </w:p>
        </w:tc>
      </w:tr>
      <w:tr>
        <w:tc>
          <w:tcPr>
            <w:tcW w:type="dxa" w:w="1728"/>
          </w:tcPr>
          <w:p>
            <w:r>
              <w:t>Lead to enrolment propensity</w:t>
            </w:r>
          </w:p>
        </w:tc>
        <w:tc>
          <w:tcPr>
            <w:tcW w:type="dxa" w:w="1728"/>
          </w:tcPr>
          <w:p>
            <w:r>
              <w:t>5.2%</w:t>
            </w:r>
          </w:p>
        </w:tc>
        <w:tc>
          <w:tcPr>
            <w:tcW w:type="dxa" w:w="1728"/>
          </w:tcPr>
          <w:p>
            <w:r>
              <w:t>0.667</w:t>
            </w:r>
          </w:p>
        </w:tc>
        <w:tc>
          <w:tcPr>
            <w:tcW w:type="dxa" w:w="1728"/>
          </w:tcPr>
          <w:p>
            <w:r>
              <w:t>0.094</w:t>
            </w:r>
          </w:p>
        </w:tc>
        <w:tc>
          <w:tcPr>
            <w:tcW w:type="dxa" w:w="1728"/>
          </w:tcPr>
          <w:p>
            <w:r>
              <w:t>2.17x</w:t>
            </w:r>
          </w:p>
        </w:tc>
      </w:tr>
      <w:tr>
        <w:tc>
          <w:tcPr>
            <w:tcW w:type="dxa" w:w="1728"/>
          </w:tcPr>
          <w:p>
            <w:r>
              <w:t>Withdrawal risk from weeks 1-4</w:t>
            </w:r>
          </w:p>
        </w:tc>
        <w:tc>
          <w:tcPr>
            <w:tcW w:type="dxa" w:w="1728"/>
          </w:tcPr>
          <w:p>
            <w:r>
              <w:t>12.5%</w:t>
            </w:r>
          </w:p>
        </w:tc>
        <w:tc>
          <w:tcPr>
            <w:tcW w:type="dxa" w:w="1728"/>
          </w:tcPr>
          <w:p>
            <w:r>
              <w:t>0.621</w:t>
            </w:r>
          </w:p>
        </w:tc>
        <w:tc>
          <w:tcPr>
            <w:tcW w:type="dxa" w:w="1728"/>
          </w:tcPr>
          <w:p>
            <w:r>
              <w:t>0.178</w:t>
            </w:r>
          </w:p>
        </w:tc>
        <w:tc>
          <w:tcPr>
            <w:tcW w:type="dxa" w:w="1728"/>
          </w:tcPr>
          <w:p>
            <w:r>
              <w:t>1.67x</w:t>
            </w:r>
          </w:p>
        </w:tc>
      </w:tr>
    </w:tbl>
    <w:p/>
    <w:p>
      <w:r>
        <w:t>An AUC in the mid-0.6s is not a headline, and it should not be. These are human decisions with a great deal of unexplained variation; a model claiming 0.95 on this data would mean a feature had leaked. What matters operationally is the lift: the top tenth of leads by score converts at over twice the base rate, which is the difference between working a list in arrival order and working it in priority order.</w:t>
      </w:r>
    </w:p>
    <w:p>
      <w:pPr>
        <w:jc w:val="center"/>
      </w:pPr>
      <w:r>
        <w:drawing>
          <wp:inline xmlns:a="http://schemas.openxmlformats.org/drawingml/2006/main" xmlns:pic="http://schemas.openxmlformats.org/drawingml/2006/picture">
            <wp:extent cx="5577840" cy="2281844"/>
            <wp:docPr id="24" name="Picture 24"/>
            <wp:cNvGraphicFramePr>
              <a:graphicFrameLocks noChangeAspect="1"/>
            </wp:cNvGraphicFramePr>
            <a:graphic>
              <a:graphicData uri="http://schemas.openxmlformats.org/drawingml/2006/picture">
                <pic:pic>
                  <pic:nvPicPr>
                    <pic:cNvPr id="0" name="ml_bands.png"/>
                    <pic:cNvPicPr/>
                  </pic:nvPicPr>
                  <pic:blipFill>
                    <a:blip r:embed="rId32"/>
                    <a:stretch>
                      <a:fillRect/>
                    </a:stretch>
                  </pic:blipFill>
                  <pic:spPr>
                    <a:xfrm>
                      <a:off x="0" y="0"/>
                      <a:ext cx="5577840" cy="2281844"/>
                    </a:xfrm>
                    <a:prstGeom prst="rect"/>
                  </pic:spPr>
                </pic:pic>
              </a:graphicData>
            </a:graphic>
          </wp:inline>
        </w:drawing>
      </w:r>
    </w:p>
    <w:p>
      <w:pPr>
        <w:jc w:val="center"/>
      </w:pPr>
      <w:r>
        <w:rPr>
          <w:i/>
          <w:color w:val="60646B"/>
          <w:sz w:val="17"/>
        </w:rPr>
        <w:t>Figure 10a - Conversion by propensity band, and withdrawal by risk band. If the bars do not separate, the model is not ranking anything.</w:t>
      </w:r>
    </w:p>
    <w:p>
      <w:pPr>
        <w:jc w:val="center"/>
      </w:pPr>
      <w:r>
        <w:drawing>
          <wp:inline xmlns:a="http://schemas.openxmlformats.org/drawingml/2006/main" xmlns:pic="http://schemas.openxmlformats.org/drawingml/2006/picture">
            <wp:extent cx="5577840" cy="2281844"/>
            <wp:docPr id="25" name="Picture 25"/>
            <wp:cNvGraphicFramePr>
              <a:graphicFrameLocks noChangeAspect="1"/>
            </wp:cNvGraphicFramePr>
            <a:graphic>
              <a:graphicData uri="http://schemas.openxmlformats.org/drawingml/2006/picture">
                <pic:pic>
                  <pic:nvPicPr>
                    <pic:cNvPr id="0" name="ml_importance.png"/>
                    <pic:cNvPicPr/>
                  </pic:nvPicPr>
                  <pic:blipFill>
                    <a:blip r:embed="rId33"/>
                    <a:stretch>
                      <a:fillRect/>
                    </a:stretch>
                  </pic:blipFill>
                  <pic:spPr>
                    <a:xfrm>
                      <a:off x="0" y="0"/>
                      <a:ext cx="5577840" cy="2281844"/>
                    </a:xfrm>
                    <a:prstGeom prst="rect"/>
                  </pic:spPr>
                </pic:pic>
              </a:graphicData>
            </a:graphic>
          </wp:inline>
        </w:drawing>
      </w:r>
    </w:p>
    <w:p>
      <w:pPr>
        <w:jc w:val="center"/>
      </w:pPr>
      <w:r>
        <w:rPr>
          <w:i/>
          <w:color w:val="60646B"/>
          <w:sz w:val="17"/>
        </w:rPr>
        <w:t>Figure 10b - What each model actually leans on.</w:t>
      </w:r>
    </w:p>
    <w:p>
      <w:pPr>
        <w:pStyle w:val="Heading2"/>
        <w:spacing w:before="240"/>
      </w:pPr>
      <w:r>
        <w:rPr>
          <w:rFonts w:ascii="Calibri" w:hAnsi="Calibri"/>
          <w:b/>
          <w:color w:val="1D1D1B"/>
          <w:sz w:val="32"/>
        </w:rPr>
        <w:t>4.1  What to do about it</w:t>
      </w:r>
    </w:p>
    <w:p>
      <w:pPr>
        <w:pStyle w:val="ListBullet"/>
      </w:pPr>
      <w:r>
        <w:rPr>
          <w:b/>
          <w:color w:val="F52635"/>
        </w:rPr>
        <w:t xml:space="preserve">Marketing. </w:t>
      </w:r>
      <w:r>
        <w:t xml:space="preserve">The top 5% of leads by propensity convert at 13.3%, against 2.8% in the bottom half - a 5x difference. </w:t>
      </w:r>
      <w:r>
        <w:rPr>
          <w:i/>
        </w:rPr>
        <w:t>Route the Priority band to human follow-up within 24 hours and leave the Low band to automated nurture. The same team covers more pipeline without more headcount.</w:t>
      </w:r>
    </w:p>
    <w:p>
      <w:pPr>
        <w:pStyle w:val="ListBullet"/>
      </w:pPr>
      <w:r>
        <w:rPr>
          <w:b/>
          <w:color w:val="F52635"/>
        </w:rPr>
        <w:t xml:space="preserve">Channel mix. </w:t>
      </w:r>
      <w:r>
        <w:t xml:space="preserve">Referral converts at 9.8% versus Walk-in at 2.2%, on 30,421 leads. </w:t>
      </w:r>
      <w:r>
        <w:rPr>
          <w:i/>
        </w:rPr>
        <w:t>Rebalance spend toward Referral, and either fix the qualification criteria on Walk-in or stop paying for it.</w:t>
      </w:r>
    </w:p>
    <w:p>
      <w:pPr>
        <w:pStyle w:val="ListBullet"/>
      </w:pPr>
      <w:r>
        <w:rPr>
          <w:b/>
          <w:color w:val="F52635"/>
        </w:rPr>
        <w:t xml:space="preserve">Retention. </w:t>
      </w:r>
      <w:r>
        <w:t xml:space="preserve">168 enrolments (0.1%) are flagged Elevated or Intervene from weeks 1-4 alone, and they withdraw at 45.8% against 12.5% overall. </w:t>
      </w:r>
      <w:r>
        <w:rPr>
          <w:i/>
        </w:rPr>
        <w:t>Trigger outreach at week 4 rather than at the first missed assessment. The signal is present before the student is far enough behind to recover from.</w:t>
      </w:r>
    </w:p>
    <w:p>
      <w:pPr>
        <w:pStyle w:val="ListBullet"/>
      </w:pPr>
      <w:r>
        <w:rPr>
          <w:b/>
          <w:color w:val="F52635"/>
        </w:rPr>
        <w:t xml:space="preserve">Early warning. </w:t>
      </w:r>
      <w:r>
        <w:t xml:space="preserve">Withdrawal rate by weeks 1-4 attendance: (0, 50] 21.4%, (50, 65] 22.4%, (65, 80] 16.4%, (80, 100] 9.1% </w:t>
      </w:r>
      <w:r>
        <w:rPr>
          <w:i/>
        </w:rPr>
        <w:t>Attendance below 65% in the first month is the single clearest trigger. It needs no model to act on - the model only tells you how much of the remaining risk it explains.</w:t>
      </w:r>
    </w:p>
    <w:p>
      <w:pPr>
        <w:pStyle w:val="Heading2"/>
        <w:spacing w:before="240"/>
      </w:pPr>
      <w:r>
        <w:rPr>
          <w:rFonts w:ascii="Calibri" w:hAnsi="Calibri"/>
          <w:b/>
          <w:color w:val="1D1D1B"/>
          <w:sz w:val="32"/>
        </w:rPr>
        <w:t>4.2  An honest caveat</w:t>
      </w:r>
    </w:p>
    <w:p>
      <w:r>
        <w:t>These models are trained on synthetic data whose structure was put there deliberately. They demonstrate the method - time-based splits, decision-time features, scoring against a base rate, lift as the operational metric - not a finding about Red &amp; Yellow. On real data the effect sizes would differ, and the first job would be to check whether they hold at all.</w:t>
      </w:r>
    </w:p>
    <w:p>
      <w:pPr>
        <w:pStyle w:val="Heading2"/>
        <w:spacing w:before="240"/>
      </w:pPr>
      <w:r>
        <w:rPr>
          <w:rFonts w:ascii="Calibri" w:hAnsi="Calibri"/>
          <w:b/>
          <w:color w:val="1D1D1B"/>
          <w:sz w:val="32"/>
        </w:rPr>
        <w:t>4.3  From AI score to a human decision</w:t>
      </w:r>
    </w:p>
    <w:p>
      <w:r>
        <w:t>The model outputs are warehouse tables, not autonomous CRM actions. The lead-propensity score orders a worklist: a recruiter can spend their next call on the leads most likely to enrol, while still seeing the band and the underlying CRM record. The withdrawal-risk score is an early-warning list for a student-success team. It should trigger a conversation or support offer, never an automated adverse decision. Power BI exposes the score distribution and observed outcomes so a team can see whether the ranking remains useful before operationalising it.</w:t>
      </w:r>
    </w:p>
    <w:p>
      <w:r>
        <w:br w:type="page"/>
      </w:r>
    </w:p>
    <w:p>
      <w:pPr>
        <w:pStyle w:val="Heading1"/>
        <w:spacing w:before="0"/>
      </w:pPr>
      <w:r>
        <w:rPr>
          <w:rFonts w:ascii="Calibri" w:hAnsi="Calibri"/>
          <w:b/>
          <w:color w:val="F52635"/>
          <w:sz w:val="40"/>
        </w:rPr>
        <w:t>5  Recommendations and solutions</w:t>
      </w:r>
    </w:p>
    <w:p>
      <w:r>
        <w:t>The dashboard is most useful when each signal ends in a decision. The table below turns the observed patterns into a practical owner, intervention and success measure. It is a control plan for the next operating cycle, not a claim that synthetic outcomes will repeat in the live organisation.</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Area</w:t>
            </w:r>
          </w:p>
        </w:tc>
        <w:tc>
          <w:tcPr>
            <w:tcW w:type="dxa" w:w="2160"/>
          </w:tcPr>
          <w:p>
            <w:r>
              <w:t>Signal</w:t>
            </w:r>
          </w:p>
        </w:tc>
        <w:tc>
          <w:tcPr>
            <w:tcW w:type="dxa" w:w="2160"/>
          </w:tcPr>
          <w:p>
            <w:r>
              <w:t>Solution</w:t>
            </w:r>
          </w:p>
        </w:tc>
        <w:tc>
          <w:tcPr>
            <w:tcW w:type="dxa" w:w="2160"/>
          </w:tcPr>
          <w:p>
            <w:r>
              <w:t>Success measure</w:t>
            </w:r>
          </w:p>
        </w:tc>
      </w:tr>
      <w:tr>
        <w:tc>
          <w:tcPr>
            <w:tcW w:type="dxa" w:w="2160"/>
          </w:tcPr>
          <w:p>
            <w:r>
              <w:t>Acquisition</w:t>
            </w:r>
          </w:p>
        </w:tc>
        <w:tc>
          <w:tcPr>
            <w:tcW w:type="dxa" w:w="2160"/>
          </w:tcPr>
          <w:p>
            <w:r>
              <w:t>Channel response, enrolment rate and revenue per member diverge.</w:t>
            </w:r>
          </w:p>
        </w:tc>
        <w:tc>
          <w:tcPr>
            <w:tcW w:type="dxa" w:w="2160"/>
          </w:tcPr>
          <w:p>
            <w:r>
              <w:t>Run a controlled budget test toward the best-performing channel; set a stop rule for spend without response.</w:t>
            </w:r>
          </w:p>
        </w:tc>
        <w:tc>
          <w:tcPr>
            <w:tcW w:type="dxa" w:w="2160"/>
          </w:tcPr>
          <w:p>
            <w:r>
              <w:t>ROAS, spend per response and revenue per member improve without increasing total spend.</w:t>
            </w:r>
          </w:p>
        </w:tc>
      </w:tr>
      <w:tr>
        <w:tc>
          <w:tcPr>
            <w:tcW w:type="dxa" w:w="2160"/>
          </w:tcPr>
          <w:p>
            <w:r>
              <w:t>Admissions</w:t>
            </w:r>
          </w:p>
        </w:tc>
        <w:tc>
          <w:tcPr>
            <w:tcW w:type="dxa" w:w="2160"/>
          </w:tcPr>
          <w:p>
            <w:r>
              <w:t>Priority propensity leads convert at a much higher rate than the lower bands.</w:t>
            </w:r>
          </w:p>
        </w:tc>
        <w:tc>
          <w:tcPr>
            <w:tcW w:type="dxa" w:w="2160"/>
          </w:tcPr>
          <w:p>
            <w:r>
              <w:t>Route Priority leads to a named human queue within 24 hours and leave Low-band leads in automated nurture.</w:t>
            </w:r>
          </w:p>
        </w:tc>
        <w:tc>
          <w:tcPr>
            <w:tcW w:type="dxa" w:w="2160"/>
          </w:tcPr>
          <w:p>
            <w:r>
              <w:t>Response SLA and conversion rate improve; top-band lift remains stable on a holdout.</w:t>
            </w:r>
          </w:p>
        </w:tc>
      </w:tr>
      <w:tr>
        <w:tc>
          <w:tcPr>
            <w:tcW w:type="dxa" w:w="2160"/>
          </w:tcPr>
          <w:p>
            <w:r>
              <w:t>Student success</w:t>
            </w:r>
          </w:p>
        </w:tc>
        <w:tc>
          <w:tcPr>
            <w:tcW w:type="dxa" w:w="2160"/>
          </w:tcPr>
          <w:p>
            <w:r>
              <w:t>First-month attendance below 65% is associated with materially higher withdrawal.</w:t>
            </w:r>
          </w:p>
        </w:tc>
        <w:tc>
          <w:tcPr>
            <w:tcW w:type="dxa" w:w="2160"/>
          </w:tcPr>
          <w:p>
            <w:r>
              <w:t>Trigger a support conversation at week 4, log the intervention and compare with the prior cohort.</w:t>
            </w:r>
          </w:p>
        </w:tc>
        <w:tc>
          <w:tcPr>
            <w:tcW w:type="dxa" w:w="2160"/>
          </w:tcPr>
          <w:p>
            <w:r>
              <w:t>Week-4 attendance rises and withdrawal falls for comparable cohorts.</w:t>
            </w:r>
          </w:p>
        </w:tc>
      </w:tr>
      <w:tr>
        <w:tc>
          <w:tcPr>
            <w:tcW w:type="dxa" w:w="2160"/>
          </w:tcPr>
          <w:p>
            <w:r>
              <w:t>CRM quality</w:t>
            </w:r>
          </w:p>
        </w:tc>
        <w:tc>
          <w:tcPr>
            <w:tcW w:type="dxa" w:w="2160"/>
          </w:tcPr>
          <w:p>
            <w:r>
              <w:t>Blank-only filters, duplicate people and missing contact fields weaken follow-up.</w:t>
            </w:r>
          </w:p>
        </w:tc>
        <w:tc>
          <w:tcPr>
            <w:tcW w:type="dxa" w:w="2160"/>
          </w:tcPr>
          <w:p>
            <w:r>
              <w:t>Require external IDs, email and campaign membership at capture; send exceptions to a daily queue.</w:t>
            </w:r>
          </w:p>
        </w:tc>
        <w:tc>
          <w:tcPr>
            <w:tcW w:type="dxa" w:w="2160"/>
          </w:tcPr>
          <w:p>
            <w:r>
              <w:t>Email completeness rises, duplicate rate falls and unresolved issues are closed within SLA.</w:t>
            </w:r>
          </w:p>
        </w:tc>
      </w:tr>
      <w:tr>
        <w:tc>
          <w:tcPr>
            <w:tcW w:type="dxa" w:w="2160"/>
          </w:tcPr>
          <w:p>
            <w:r>
              <w:t>Catalogue</w:t>
            </w:r>
          </w:p>
        </w:tc>
        <w:tc>
          <w:tcPr>
            <w:tcW w:type="dxa" w:w="2160"/>
          </w:tcPr>
          <w:p>
            <w:r>
              <w:t>Enquire-for-price offerings have no defensible numeric fee.</w:t>
            </w:r>
          </w:p>
        </w:tc>
        <w:tc>
          <w:tcPr>
            <w:tcW w:type="dxa" w:w="2160"/>
          </w:tcPr>
          <w:p>
            <w:r>
              <w:t>Keep price as null with an explicit status; add a verified fee only when the public source supplies one.</w:t>
            </w:r>
          </w:p>
        </w:tc>
        <w:tc>
          <w:tcPr>
            <w:tcW w:type="dxa" w:w="2160"/>
          </w:tcPr>
          <w:p>
            <w:r>
              <w:t>No unknown price is reported as zero and fee refreshes retain source evidence.</w:t>
            </w:r>
          </w:p>
        </w:tc>
      </w:tr>
      <w:tr>
        <w:tc>
          <w:tcPr>
            <w:tcW w:type="dxa" w:w="2160"/>
          </w:tcPr>
          <w:p>
            <w:r>
              <w:t>Platform</w:t>
            </w:r>
          </w:p>
        </w:tc>
        <w:tc>
          <w:tcPr>
            <w:tcW w:type="dxa" w:w="2160"/>
          </w:tcPr>
          <w:p>
            <w:r>
              <w:t>Bronze is verified; silver/gold Fabric execution and GA4 are still gated.</w:t>
            </w:r>
          </w:p>
        </w:tc>
        <w:tc>
          <w:tcPr>
            <w:tcW w:type="dxa" w:w="2160"/>
          </w:tcPr>
          <w:p>
            <w:r>
              <w:t>Finish DuckDB-to-T-SQL compatibility fixes, rerun dbt in Fabric, then add GA4 as a separate dated bronze source.</w:t>
            </w:r>
          </w:p>
        </w:tc>
        <w:tc>
          <w:tcPr>
            <w:tcW w:type="dxa" w:w="2160"/>
          </w:tcPr>
          <w:p>
            <w:r>
              <w:t>A passing Fabric run and a reconciled GA4-to-campaign mart before production reporting.</w:t>
            </w:r>
          </w:p>
        </w:tc>
      </w:tr>
    </w:tbl>
    <w:p>
      <w:pPr>
        <w:pStyle w:val="Heading2"/>
        <w:spacing w:before="240"/>
      </w:pPr>
      <w:r>
        <w:rPr>
          <w:rFonts w:ascii="Calibri" w:hAnsi="Calibri"/>
          <w:b/>
          <w:color w:val="1D1D1B"/>
          <w:sz w:val="32"/>
        </w:rPr>
        <w:t>5.1  90-day implementation sequence</w:t>
      </w:r>
    </w:p>
    <w:p>
      <w:pPr>
        <w:pStyle w:val="ListBullet"/>
      </w:pPr>
      <w:r>
        <w:rPr>
          <w:b/>
          <w:color w:val="F52635"/>
        </w:rPr>
        <w:t xml:space="preserve">Days 0-30 - Stabilise. </w:t>
      </w:r>
      <w:r>
        <w:t>Confirm field rules, remove blank-bound slicers, assign the Priority queue and baseline the KPI cards.</w:t>
      </w:r>
    </w:p>
    <w:p>
      <w:pPr>
        <w:pStyle w:val="ListBullet"/>
      </w:pPr>
      <w:r>
        <w:rPr>
          <w:b/>
          <w:color w:val="F52635"/>
        </w:rPr>
        <w:t xml:space="preserve">Days 31-60 - Test. </w:t>
      </w:r>
      <w:r>
        <w:t>Run channel and follow-up holdouts, log student-support interventions and keep spend and cohort definitions fixed.</w:t>
      </w:r>
    </w:p>
    <w:p>
      <w:pPr>
        <w:pStyle w:val="ListBullet"/>
      </w:pPr>
      <w:r>
        <w:rPr>
          <w:b/>
          <w:color w:val="F52635"/>
        </w:rPr>
        <w:t xml:space="preserve">Days 61-90 - Scale. </w:t>
      </w:r>
      <w:r>
        <w:t>Promote only interventions that beat baseline, publish the weekly action list and monitor model drift by delivery mode and channel.</w:t>
      </w:r>
    </w:p>
    <w:p>
      <w:r>
        <w:t>No model score should make an automated adverse decision. Scores order a worklist for a human team; the team records the action and the outcome so the recommendation can be challenged and improved.</w:t>
      </w:r>
    </w:p>
    <w:p>
      <w:r>
        <w:br w:type="page"/>
      </w:r>
    </w:p>
    <w:p>
      <w:pPr>
        <w:pStyle w:val="Heading1"/>
        <w:spacing w:before="0"/>
      </w:pPr>
      <w:r>
        <w:rPr>
          <w:rFonts w:ascii="Calibri" w:hAnsi="Calibri"/>
          <w:b/>
          <w:color w:val="F52635"/>
          <w:sz w:val="40"/>
        </w:rPr>
        <w:t>6  How the warehouse is organised</w:t>
      </w:r>
    </w:p>
    <w:p>
      <w:r>
        <w:t>The warehouse follows a medallion layout, and it is a real one rather than three schema names: silver reads bronze, never the source file. That matters because it is what makes the lineage answer the question “what actually arrived?”. Without a bronze layer, dbt’s graph begins at the cleansed data and the landed source is invisible to the catalogue - you can see what a column became, but not what it was.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What it holds</w:t>
            </w:r>
          </w:p>
        </w:tc>
        <w:tc>
          <w:tcPr>
            <w:tcW w:type="dxa" w:w="2880"/>
          </w:tcPr>
          <w:p>
            <w:r>
              <w:t>Rule</w:t>
            </w:r>
          </w:p>
        </w:tc>
      </w:tr>
      <w:tr>
        <w:tc>
          <w:tcPr>
            <w:tcW w:type="dxa" w:w="2880"/>
          </w:tcPr>
          <w:p>
            <w:r>
              <w:t>Bronze</w:t>
            </w:r>
          </w:p>
        </w:tc>
        <w:tc>
          <w:tcPr>
            <w:tcW w:type="dxa" w:w="2880"/>
          </w:tcPr>
          <w:p>
            <w:r>
              <w:t>13 models - the landed source made queryable</w:t>
            </w:r>
          </w:p>
        </w:tc>
        <w:tc>
          <w:tcPr>
            <w:tcW w:type="dxa" w:w="2880"/>
          </w:tcPr>
          <w:p>
            <w:r>
              <w:t>No renaming, casting or filtering</w:t>
            </w:r>
          </w:p>
        </w:tc>
      </w:tr>
      <w:tr>
        <w:tc>
          <w:tcPr>
            <w:tcW w:type="dxa" w:w="2880"/>
          </w:tcPr>
          <w:p>
            <w:r>
              <w:t>Silver</w:t>
            </w:r>
          </w:p>
        </w:tc>
        <w:tc>
          <w:tcPr>
            <w:tcW w:type="dxa" w:w="2880"/>
          </w:tcPr>
          <w:p>
            <w:r>
              <w:t>13 models - cleansed and conformed</w:t>
            </w:r>
          </w:p>
        </w:tc>
        <w:tc>
          <w:tcPr>
            <w:tcW w:type="dxa" w:w="2880"/>
          </w:tcPr>
          <w:p>
            <w:r>
              <w:t>Every cleansing decision lives here and nowhere else</w:t>
            </w:r>
          </w:p>
        </w:tc>
      </w:tr>
      <w:tr>
        <w:tc>
          <w:tcPr>
            <w:tcW w:type="dxa" w:w="2880"/>
          </w:tcPr>
          <w:p>
            <w:r>
              <w:t>Gold</w:t>
            </w:r>
          </w:p>
        </w:tc>
        <w:tc>
          <w:tcPr>
            <w:tcW w:type="dxa" w:w="2880"/>
          </w:tcPr>
          <w:p>
            <w:r>
              <w:t>8 models - business-level facts and dimensions</w:t>
            </w:r>
          </w:p>
        </w:tc>
        <w:tc>
          <w:tcPr>
            <w:tcW w:type="dxa" w:w="2880"/>
          </w:tcPr>
          <w:p>
            <w:r>
              <w:t>Assumes clean input; never re-cleans</w:t>
            </w:r>
          </w:p>
        </w:tc>
      </w:tr>
      <w:tr>
        <w:tc>
          <w:tcPr>
            <w:tcW w:type="dxa" w:w="2880"/>
          </w:tcPr>
          <w:p>
            <w:r>
              <w:t>Quality</w:t>
            </w:r>
          </w:p>
        </w:tc>
        <w:tc>
          <w:tcPr>
            <w:tcW w:type="dxa" w:w="2880"/>
          </w:tcPr>
          <w:p>
            <w:r>
              <w:t>2 models - the defect log and its summary</w:t>
            </w:r>
          </w:p>
        </w:tc>
        <w:tc>
          <w:tcPr>
            <w:tcW w:type="dxa" w:w="2880"/>
          </w:tcPr>
          <w:p>
            <w:r>
              <w:t>Describes the pipeline, not the business</w:t>
            </w:r>
          </w:p>
        </w:tc>
      </w:tr>
    </w:tbl>
    <w:p/>
    <w:p>
      <w:pPr>
        <w:jc w:val="center"/>
      </w:pPr>
      <w:r>
        <w:drawing>
          <wp:inline xmlns:a="http://schemas.openxmlformats.org/drawingml/2006/main" xmlns:pic="http://schemas.openxmlformats.org/drawingml/2006/picture">
            <wp:extent cx="5577840" cy="2551565"/>
            <wp:docPr id="26" name="Picture 26"/>
            <wp:cNvGraphicFramePr>
              <a:graphicFrameLocks noChangeAspect="1"/>
            </wp:cNvGraphicFramePr>
            <a:graphic>
              <a:graphicData uri="http://schemas.openxmlformats.org/drawingml/2006/picture">
                <pic:pic>
                  <pic:nvPicPr>
                    <pic:cNvPr id="0" name="ev_09_medallion.png"/>
                    <pic:cNvPicPr/>
                  </pic:nvPicPr>
                  <pic:blipFill>
                    <a:blip r:embed="rId34"/>
                    <a:stretch>
                      <a:fillRect/>
                    </a:stretch>
                  </pic:blipFill>
                  <pic:spPr>
                    <a:xfrm>
                      <a:off x="0" y="0"/>
                      <a:ext cx="5577840" cy="2551565"/>
                    </a:xfrm>
                    <a:prstGeom prst="rect"/>
                  </pic:spPr>
                </pic:pic>
              </a:graphicData>
            </a:graphic>
          </wp:inline>
        </w:drawing>
      </w:r>
    </w:p>
    <w:p>
      <w:pPr>
        <w:jc w:val="center"/>
      </w:pPr>
      <w:r>
        <w:rPr>
          <w:i/>
          <w:color w:val="60646B"/>
          <w:sz w:val="17"/>
        </w:rPr>
        <w:t>Figure 10c - The medallion, read from dbt’s manifest. Model counts and layer membership come from the build, so a model added or moved shows up here rather than the picture going stale.</w:t>
      </w:r>
    </w:p>
    <w:p>
      <w:pPr>
        <w:pStyle w:val="Heading2"/>
        <w:spacing w:before="240"/>
      </w:pPr>
      <w:r>
        <w:rPr>
          <w:rFonts w:ascii="Calibri" w:hAnsi="Calibri"/>
          <w:b/>
          <w:color w:val="1D1D1B"/>
          <w:sz w:val="32"/>
        </w:rPr>
        <w:t>6.1  Full canonical Salesforce ERD</w:t>
      </w:r>
    </w:p>
    <w:p>
      <w:r>
        <w:t>The complete canonical ERD is included here as the source-of-truth relationship map. It includes the public catalogue objects, Salesforce operational objects, applications, enrolments and student-progress spine. Archived diagrams are not implementation targets.</w:t>
      </w:r>
    </w:p>
    <w:p>
      <w:pPr>
        <w:jc w:val="center"/>
      </w:pPr>
      <w:r>
        <w:drawing>
          <wp:inline xmlns:a="http://schemas.openxmlformats.org/drawingml/2006/main" xmlns:pic="http://schemas.openxmlformats.org/drawingml/2006/picture">
            <wp:extent cx="5669280" cy="4251960"/>
            <wp:docPr id="27" name="Picture 27"/>
            <wp:cNvGraphicFramePr>
              <a:graphicFrameLocks noChangeAspect="1"/>
            </wp:cNvGraphicFramePr>
            <a:graphic>
              <a:graphicData uri="http://schemas.openxmlformats.org/drawingml/2006/picture">
                <pic:pic>
                  <pic:nvPicPr>
                    <pic:cNvPr id="0" name="03_Canonical_ERD.png"/>
                    <pic:cNvPicPr/>
                  </pic:nvPicPr>
                  <pic:blipFill>
                    <a:blip r:embed="rId35"/>
                    <a:stretch>
                      <a:fillRect/>
                    </a:stretch>
                  </pic:blipFill>
                  <pic:spPr>
                    <a:xfrm>
                      <a:off x="0" y="0"/>
                      <a:ext cx="5669280" cy="4251960"/>
                    </a:xfrm>
                    <a:prstGeom prst="rect"/>
                  </pic:spPr>
                </pic:pic>
              </a:graphicData>
            </a:graphic>
          </wp:inline>
        </w:drawing>
      </w:r>
    </w:p>
    <w:p>
      <w:pPr>
        <w:jc w:val="center"/>
      </w:pPr>
      <w:r>
        <w:rPr>
          <w:i/>
          <w:color w:val="60646B"/>
          <w:sz w:val="17"/>
        </w:rPr>
        <w:t>Canonical Salesforce ERD — complete implementation target, rendered from erds/overview.svg.</w:t>
      </w:r>
    </w:p>
    <w:p>
      <w:pPr>
        <w:pStyle w:val="Heading2"/>
        <w:spacing w:before="240"/>
      </w:pPr>
      <w:r>
        <w:rPr>
          <w:rFonts w:ascii="Calibri" w:hAnsi="Calibri"/>
          <w:b/>
          <w:color w:val="1D1D1B"/>
          <w:sz w:val="32"/>
        </w:rPr>
        <w:t>6.2  The data model</w:t>
      </w:r>
    </w:p>
    <w:p>
      <w:r>
        <w:t>The semantic model mirrors the canonical ERD rather than stopping at aggregates: programme, offering, intake, enquiry, application, enrolment, student and weekly progress are all present and joined, so the chain the ERD draws can actually be walked in a report. The live Salesforce tables and both model outputs hang off the same spine.</w:t>
      </w:r>
    </w:p>
    <w:p>
      <w:pPr>
        <w:jc w:val="center"/>
      </w:pPr>
      <w:r>
        <w:drawing>
          <wp:inline xmlns:a="http://schemas.openxmlformats.org/drawingml/2006/main" xmlns:pic="http://schemas.openxmlformats.org/drawingml/2006/picture">
            <wp:extent cx="5577840" cy="3560323"/>
            <wp:docPr id="28" name="Picture 28"/>
            <wp:cNvGraphicFramePr>
              <a:graphicFrameLocks noChangeAspect="1"/>
            </wp:cNvGraphicFramePr>
            <a:graphic>
              <a:graphicData uri="http://schemas.openxmlformats.org/drawingml/2006/picture">
                <pic:pic>
                  <pic:nvPicPr>
                    <pic:cNvPr id="0" name="ev_10_data_model.png"/>
                    <pic:cNvPicPr/>
                  </pic:nvPicPr>
                  <pic:blipFill>
                    <a:blip r:embed="rId36"/>
                    <a:stretch>
                      <a:fillRect/>
                    </a:stretch>
                  </pic:blipFill>
                  <pic:spPr>
                    <a:xfrm>
                      <a:off x="0" y="0"/>
                      <a:ext cx="5577840" cy="3560323"/>
                    </a:xfrm>
                    <a:prstGeom prst="rect"/>
                  </pic:spPr>
                </pic:pic>
              </a:graphicData>
            </a:graphic>
          </wp:inline>
        </w:drawing>
      </w:r>
    </w:p>
    <w:p>
      <w:pPr>
        <w:jc w:val="center"/>
      </w:pPr>
      <w:r>
        <w:rPr>
          <w:i/>
          <w:color w:val="60646B"/>
          <w:sz w:val="17"/>
        </w:rPr>
        <w:t>Figure 10d - The semantic model, read from its TMDL. Facts sit at the centre in red, dimensions on the ring.</w:t>
      </w:r>
    </w:p>
    <w:p>
      <w:r>
        <w:br w:type="page"/>
      </w:r>
    </w:p>
    <w:p>
      <w:pPr>
        <w:pStyle w:val="Heading1"/>
        <w:spacing w:before="0"/>
      </w:pPr>
      <w:r>
        <w:rPr>
          <w:rFonts w:ascii="Calibri" w:hAnsi="Calibri"/>
          <w:b/>
          <w:color w:val="F52635"/>
          <w:sz w:val="40"/>
        </w:rPr>
        <w:t>7  The pipeline infrastructure</w:t>
      </w:r>
    </w:p>
    <w:p>
      <w:r>
        <w:t>Two pieces of the stack are running systems rather than code in a repository, so they are shown as they actually are - read from their own APIs at the moment this document was built.</w:t>
      </w:r>
    </w:p>
    <w:p>
      <w:pPr>
        <w:pStyle w:val="Heading2"/>
        <w:spacing w:before="240"/>
      </w:pPr>
      <w:r>
        <w:rPr>
          <w:rFonts w:ascii="Calibri" w:hAnsi="Calibri"/>
          <w:b/>
          <w:color w:val="1D1D1B"/>
          <w:sz w:val="32"/>
        </w:rPr>
        <w:t>7.1  Apache NiFi</w:t>
      </w:r>
    </w:p>
    <w:p>
      <w:r>
        <w:t>NiFi has exactly one root per instance, so a project is a top-level process group and its stages are nested groups joined by ports. That lets each stage start, stop and version independently, and keeps the canvas readable. Controller services sit on the project group and are inherited, so the two stages cannot drift onto different connection pools. Credentials come from a parameter context whose sensitive values are empty in source control - which is why the processors are stopped and invalid until an operator supplies them.</w:t>
      </w:r>
    </w:p>
    <w:p>
      <w:pPr>
        <w:jc w:val="center"/>
      </w:pPr>
      <w:r>
        <w:drawing>
          <wp:inline xmlns:a="http://schemas.openxmlformats.org/drawingml/2006/main" xmlns:pic="http://schemas.openxmlformats.org/drawingml/2006/picture">
            <wp:extent cx="5577840" cy="6502930"/>
            <wp:docPr id="29" name="Picture 29"/>
            <wp:cNvGraphicFramePr>
              <a:graphicFrameLocks noChangeAspect="1"/>
            </wp:cNvGraphicFramePr>
            <a:graphic>
              <a:graphicData uri="http://schemas.openxmlformats.org/drawingml/2006/picture">
                <pic:pic>
                  <pic:nvPicPr>
                    <pic:cNvPr id="0" name="ev_07_nifi_flow.png"/>
                    <pic:cNvPicPr/>
                  </pic:nvPicPr>
                  <pic:blipFill>
                    <a:blip r:embed="rId37"/>
                    <a:stretch>
                      <a:fillRect/>
                    </a:stretch>
                  </pic:blipFill>
                  <pic:spPr>
                    <a:xfrm>
                      <a:off x="0" y="0"/>
                      <a:ext cx="5577840" cy="6502930"/>
                    </a:xfrm>
                    <a:prstGeom prst="rect"/>
                  </pic:spPr>
                </pic:pic>
              </a:graphicData>
            </a:graphic>
          </wp:inline>
        </w:drawing>
      </w:r>
    </w:p>
    <w:p>
      <w:pPr>
        <w:jc w:val="center"/>
      </w:pPr>
      <w:r>
        <w:rPr>
          <w:i/>
          <w:color w:val="60646B"/>
          <w:sz w:val="17"/>
        </w:rPr>
        <w:t>Figure 11 - The live NiFi hierarchy. RY_Salesforce_to_Fabric holds two stage groups; the LYRA groups are unrelated work on the same instance.</w:t>
      </w:r>
    </w:p>
    <w:p>
      <w:pPr>
        <w:jc w:val="center"/>
      </w:pPr>
      <w:r>
        <w:drawing>
          <wp:inline xmlns:a="http://schemas.openxmlformats.org/drawingml/2006/main" xmlns:pic="http://schemas.openxmlformats.org/drawingml/2006/picture">
            <wp:extent cx="5577840" cy="2654170"/>
            <wp:docPr id="30" name="Picture 30"/>
            <wp:cNvGraphicFramePr>
              <a:graphicFrameLocks noChangeAspect="1"/>
            </wp:cNvGraphicFramePr>
            <a:graphic>
              <a:graphicData uri="http://schemas.openxmlformats.org/drawingml/2006/picture">
                <pic:pic>
                  <pic:nvPicPr>
                    <pic:cNvPr id="0" name="12_NiFi_salesforce_to_fabric_clean.png"/>
                    <pic:cNvPicPr/>
                  </pic:nvPicPr>
                  <pic:blipFill>
                    <a:blip r:embed="rId38"/>
                    <a:stretch>
                      <a:fillRect/>
                    </a:stretch>
                  </pic:blipFill>
                  <pic:spPr>
                    <a:xfrm>
                      <a:off x="0" y="0"/>
                      <a:ext cx="5577840" cy="2654170"/>
                    </a:xfrm>
                    <a:prstGeom prst="rect"/>
                  </pic:spPr>
                </pic:pic>
              </a:graphicData>
            </a:graphic>
          </wp:inline>
        </w:drawing>
      </w:r>
    </w:p>
    <w:p>
      <w:pPr>
        <w:jc w:val="center"/>
      </w:pPr>
      <w:r>
        <w:rPr>
          <w:i/>
          <w:color w:val="60646B"/>
          <w:sz w:val="17"/>
        </w:rPr>
        <w:t>Figure 11a - Clean NiFi capture of the Salesforce-to-Fabric process group; browser tabs and the Windows taskbar are removed.</w:t>
      </w:r>
    </w:p>
    <w:p>
      <w:pPr>
        <w:pStyle w:val="Heading2"/>
        <w:spacing w:before="240"/>
      </w:pPr>
      <w:r>
        <w:rPr>
          <w:rFonts w:ascii="Calibri" w:hAnsi="Calibri"/>
          <w:b/>
          <w:color w:val="1D1D1B"/>
          <w:sz w:val="32"/>
        </w:rPr>
        <w:t>7.2  Microsoft Fabric</w:t>
      </w:r>
    </w:p>
    <w:p>
      <w:r>
        <w:t>Fabric Warehouse bronze is verified. All 13 landed source tables are present in raw_salesforce: 1.50 million leads, 1.14 million contacts, 2.53 million campaign members, 706 thousand opportunities, 494 thousand applications and 2.10 million student-progress rows, with the programme catalogue tables alongside them. The Azure CLI dbt connection and a bronze campaign view both passed. The silver and gold Fabric build is intentionally not claimed as complete: its remaining failures are documented DuckDB-to-T-SQL compatibility work, including date and join syntax.</w:t>
      </w:r>
    </w:p>
    <w:p>
      <w:r>
        <w:t>The bronze land is partitioned by table in OneLake. A workspace created through the API arrives with no capacity attached, and every Fabric item type then fails with a 403 that looks like licensing rather than an unassigned workspace. Trial capacity does not stop on its own, so delete the project workspace when the demonstration is complete.</w:t>
      </w:r>
    </w:p>
    <w:p>
      <w:pPr>
        <w:jc w:val="center"/>
      </w:pPr>
      <w:r>
        <w:drawing>
          <wp:inline xmlns:a="http://schemas.openxmlformats.org/drawingml/2006/main" xmlns:pic="http://schemas.openxmlformats.org/drawingml/2006/picture">
            <wp:extent cx="5577840" cy="3651832"/>
            <wp:docPr id="31" name="Picture 31"/>
            <wp:cNvGraphicFramePr>
              <a:graphicFrameLocks noChangeAspect="1"/>
            </wp:cNvGraphicFramePr>
            <a:graphic>
              <a:graphicData uri="http://schemas.openxmlformats.org/drawingml/2006/picture">
                <pic:pic>
                  <pic:nvPicPr>
                    <pic:cNvPr id="0" name="ev_08_fabric.png"/>
                    <pic:cNvPicPr/>
                  </pic:nvPicPr>
                  <pic:blipFill>
                    <a:blip r:embed="rId39"/>
                    <a:stretch>
                      <a:fillRect/>
                    </a:stretch>
                  </pic:blipFill>
                  <pic:spPr>
                    <a:xfrm>
                      <a:off x="0" y="0"/>
                      <a:ext cx="5577840" cy="3651832"/>
                    </a:xfrm>
                    <a:prstGeom prst="rect"/>
                  </pic:spPr>
                </pic:pic>
              </a:graphicData>
            </a:graphic>
          </wp:inline>
        </w:drawing>
      </w:r>
    </w:p>
    <w:p>
      <w:pPr>
        <w:jc w:val="center"/>
      </w:pPr>
      <w:r>
        <w:rPr>
          <w:i/>
          <w:color w:val="60646B"/>
          <w:sz w:val="17"/>
        </w:rPr>
        <w:t>Figure 12 - The Fabric workspace, its capacity, and what is actually in OneLake.</w:t>
      </w:r>
    </w:p>
    <w:p>
      <w:pPr>
        <w:pStyle w:val="Heading2"/>
        <w:spacing w:before="240"/>
      </w:pPr>
      <w:r>
        <w:rPr>
          <w:rFonts w:ascii="Calibri" w:hAnsi="Calibri"/>
          <w:b/>
          <w:color w:val="1D1D1B"/>
          <w:sz w:val="32"/>
        </w:rPr>
        <w:t>7.3  GA4 to Fabric - two valid routes, not a claimed result</w:t>
      </w:r>
    </w:p>
    <w:p>
      <w:r>
        <w:t>A GA4 NiFi builder is included, but it has no configured GA4 credential, successful extract or warehouse source table, and no report number uses GA4 data. BigQuery is not required when the Data API is used: runReport returns the aggregated dimensions and metrics needed for campaign, source/medium and landing-page reporting, and NiFi can write those results directly to OneLake. BigQuery is required for GA4 native raw-event export, which produces richer events_YYYYMMDD tables for event-parameter and session-path analysis. Either route can land in a dated bronze partition before dbt conforms campaign and date keys for Power BI. Keep user-level analytics identifiers out of the CRM join; campaign, source and date are enough for the first use case.</w:t>
      </w:r>
    </w:p>
    <w:p>
      <w:pPr>
        <w:jc w:val="center"/>
      </w:pPr>
      <w:r>
        <w:drawing>
          <wp:inline xmlns:a="http://schemas.openxmlformats.org/drawingml/2006/main" xmlns:pic="http://schemas.openxmlformats.org/drawingml/2006/picture">
            <wp:extent cx="5577840" cy="2517775"/>
            <wp:docPr id="32" name="Picture 32"/>
            <wp:cNvGraphicFramePr>
              <a:graphicFrameLocks noChangeAspect="1"/>
            </wp:cNvGraphicFramePr>
            <a:graphic>
              <a:graphicData uri="http://schemas.openxmlformats.org/drawingml/2006/picture">
                <pic:pic>
                  <pic:nvPicPr>
                    <pic:cNvPr id="0" name="ga4_to_fabric.png"/>
                    <pic:cNvPicPr/>
                  </pic:nvPicPr>
                  <pic:blipFill>
                    <a:blip r:embed="rId40"/>
                    <a:stretch>
                      <a:fillRect/>
                    </a:stretch>
                  </pic:blipFill>
                  <pic:spPr>
                    <a:xfrm>
                      <a:off x="0" y="0"/>
                      <a:ext cx="5577840" cy="2517775"/>
                    </a:xfrm>
                    <a:prstGeom prst="rect"/>
                  </pic:spPr>
                </pic:pic>
              </a:graphicData>
            </a:graphic>
          </wp:inline>
        </w:drawing>
      </w:r>
    </w:p>
    <w:p>
      <w:pPr>
        <w:jc w:val="center"/>
      </w:pPr>
      <w:r>
        <w:rPr>
          <w:i/>
          <w:color w:val="60646B"/>
          <w:sz w:val="17"/>
        </w:rPr>
        <w:t>Figure 13 - GA4 can feed the platform through the Data API without BigQuery, or through native raw-event export to BigQuery.</w:t>
      </w:r>
    </w:p>
    <w:p>
      <w:pPr>
        <w:pStyle w:val="Heading2"/>
        <w:spacing w:before="240"/>
      </w:pPr>
      <w:r>
        <w:rPr>
          <w:rFonts w:ascii="Calibri" w:hAnsi="Calibri"/>
          <w:b/>
          <w:color w:val="1D1D1B"/>
          <w:sz w:val="32"/>
        </w:rPr>
        <w:t>7.4  Website SEO audit findings</w:t>
      </w:r>
    </w:p>
    <w:p>
      <w:r>
        <w:t>A read-only crawl of every URL in the public XML sitemap was completed on 10 September 2026. It covered 561 sitemap URLs, 435 live HTTP 200 pages, titles, meta descriptions, canonical links, headings, social tags, JSON-LD, image alt text and mobile viewport markup. The full page-level results are in docs/SEO_AUDIT_2026-09-10.md with one machine-readable record per URL.</w:t>
      </w:r>
    </w:p>
    <w:p>
      <w:r>
        <w:t>The highest-priority findings are 126 sitemap URLs returning a non-200 response, 5 pages without a title, 169 pages without a meta description, 435 live pages without a canonical link, 425 pages with more than one H1, 435 pages missing core Open Graph and Twitter card tags, 435 pages without JSON-LD structured data and 310 images with missing or empty alt text.</w:t>
      </w:r>
    </w:p>
    <w:p>
      <w:r>
        <w:t>Recommended sequence: repair sitemap and redirect hygiene; define one metadata contract for programme, catalogue, blog and corporate templates; add self-canonicals, social tags, BreadcrumbList and appropriate course schema; enforce one H1; improve programme and application internal links; then rerun the crawl and reconcile coverage before release.</w:t>
      </w:r>
    </w:p>
    <w:p>
      <w:pPr>
        <w:pStyle w:val="Heading2"/>
        <w:spacing w:before="240"/>
      </w:pPr>
      <w:r>
        <w:rPr>
          <w:rFonts w:ascii="Calibri" w:hAnsi="Calibri"/>
          <w:b/>
          <w:color w:val="1D1D1B"/>
          <w:sz w:val="32"/>
        </w:rPr>
        <w:t>7.5  Business analysis and systems analysis improvements</w:t>
      </w:r>
    </w:p>
    <w:p>
      <w:r>
        <w:t>The website audit is also a requirements and architecture signal. The problems repeat by page template and system boundary, so the useful response is a BA/SA backlog with owners, acceptance evidence and release controls rather than a list of isolated edits. The detailed register is in docs/BA_SA_IMPROVEMENTS.md.</w:t>
      </w:r>
    </w:p>
    <w:p>
      <w:r>
        <w:t>Business analysis priorities: agree one catalogue and KPI dictionary across on-campus and online delivery; label every count by source system and as-of date; define funnel denominators and attribution rules; and turn the marketing, admissions, student-success and data-quality signals into user stories with an owner, SLA and outcome measure.</w:t>
      </w:r>
    </w:p>
    <w:p>
      <w:r>
        <w:t>Systems analysis priorities: choose the GA4 Data API route when curated metrics are sufficient, or the native BigQuery route when raw events are needed; keep website identifiers separate from CRM external IDs; add watermarks, run IDs, reject counts, retries and replay paths to NiFi and Fabric; and enforce website metadata, structured-data, heading and image controls at the template level.</w:t>
      </w:r>
    </w:p>
    <w:p>
      <w:r>
        <w:t>The first release gate is explicit: non-200 sitemap entries are repaired or approved as redirects, catalogue and KPI definitions reconcile across Power BI and the warehouse, no slicer is blank-only, and every ML action has human review and a recorded outcome. These are improvements identified from the analysed website and platform evidence; no production website change is claimed here.</w:t>
      </w:r>
    </w:p>
    <w:p>
      <w:pPr>
        <w:pStyle w:val="Heading2"/>
        <w:spacing w:before="240"/>
      </w:pPr>
      <w:r>
        <w:rPr>
          <w:rFonts w:ascii="Calibri" w:hAnsi="Calibri"/>
          <w:b/>
          <w:color w:val="1D1D1B"/>
          <w:sz w:val="32"/>
        </w:rPr>
        <w:t>7.6  Screens from the org</w:t>
      </w:r>
    </w:p>
    <w:p>
      <w:pPr>
        <w:jc w:val="center"/>
      </w:pPr>
      <w:r>
        <w:drawing>
          <wp:inline xmlns:a="http://schemas.openxmlformats.org/drawingml/2006/main" xmlns:pic="http://schemas.openxmlformats.org/drawingml/2006/picture">
            <wp:extent cx="5394960" cy="3260690"/>
            <wp:docPr id="33" name="Picture 33"/>
            <wp:cNvGraphicFramePr>
              <a:graphicFrameLocks noChangeAspect="1"/>
            </wp:cNvGraphicFramePr>
            <a:graphic>
              <a:graphicData uri="http://schemas.openxmlformats.org/drawingml/2006/picture">
                <pic:pic>
                  <pic:nvPicPr>
                    <pic:cNvPr id="0" name="06_PowerBI_predictive_actions.png"/>
                    <pic:cNvPicPr/>
                  </pic:nvPicPr>
                  <pic:blipFill>
                    <a:blip r:embed="rId41"/>
                    <a:stretch>
                      <a:fillRect/>
                    </a:stretch>
                  </pic:blipFill>
                  <pic:spPr>
                    <a:xfrm>
                      <a:off x="0" y="0"/>
                      <a:ext cx="5394960" cy="3260690"/>
                    </a:xfrm>
                    <a:prstGeom prst="rect"/>
                  </pic:spPr>
                </pic:pic>
              </a:graphicData>
            </a:graphic>
          </wp:inline>
        </w:drawing>
      </w:r>
    </w:p>
    <w:p>
      <w:pPr>
        <w:jc w:val="center"/>
      </w:pPr>
      <w:r>
        <w:rPr>
          <w:i/>
          <w:color w:val="60646B"/>
          <w:sz w:val="17"/>
        </w:rPr>
        <w:t>PowerBI predictive actions</w:t>
      </w:r>
    </w:p>
    <w:p>
      <w:pPr>
        <w:jc w:val="center"/>
      </w:pPr>
      <w:r>
        <w:drawing>
          <wp:inline xmlns:a="http://schemas.openxmlformats.org/drawingml/2006/main" xmlns:pic="http://schemas.openxmlformats.org/drawingml/2006/picture">
            <wp:extent cx="5394960" cy="2875206"/>
            <wp:docPr id="34" name="Picture 34"/>
            <wp:cNvGraphicFramePr>
              <a:graphicFrameLocks noChangeAspect="1"/>
            </wp:cNvGraphicFramePr>
            <a:graphic>
              <a:graphicData uri="http://schemas.openxmlformats.org/drawingml/2006/picture">
                <pic:pic>
                  <pic:nvPicPr>
                    <pic:cNvPr id="0" name="07_Salesforce_contacts_live.png"/>
                    <pic:cNvPicPr/>
                  </pic:nvPicPr>
                  <pic:blipFill>
                    <a:blip r:embed="rId42"/>
                    <a:stretch>
                      <a:fillRect/>
                    </a:stretch>
                  </pic:blipFill>
                  <pic:spPr>
                    <a:xfrm>
                      <a:off x="0" y="0"/>
                      <a:ext cx="5394960" cy="2875206"/>
                    </a:xfrm>
                    <a:prstGeom prst="rect"/>
                  </pic:spPr>
                </pic:pic>
              </a:graphicData>
            </a:graphic>
          </wp:inline>
        </w:drawing>
      </w:r>
    </w:p>
    <w:p>
      <w:pPr>
        <w:jc w:val="center"/>
      </w:pPr>
      <w:r>
        <w:rPr>
          <w:i/>
          <w:color w:val="60646B"/>
          <w:sz w:val="17"/>
        </w:rPr>
        <w:t>Salesforce contacts live</w:t>
      </w:r>
    </w:p>
    <w:p>
      <w:pPr>
        <w:jc w:val="center"/>
      </w:pPr>
      <w:r>
        <w:drawing>
          <wp:inline xmlns:a="http://schemas.openxmlformats.org/drawingml/2006/main" xmlns:pic="http://schemas.openxmlformats.org/drawingml/2006/picture">
            <wp:extent cx="5394960" cy="3034665"/>
            <wp:docPr id="35" name="Picture 35"/>
            <wp:cNvGraphicFramePr>
              <a:graphicFrameLocks noChangeAspect="1"/>
            </wp:cNvGraphicFramePr>
            <a:graphic>
              <a:graphicData uri="http://schemas.openxmlformats.org/drawingml/2006/picture">
                <pic:pic>
                  <pic:nvPicPr>
                    <pic:cNvPr id="0" name="08_Salesforce_accounts_verified.png"/>
                    <pic:cNvPicPr/>
                  </pic:nvPicPr>
                  <pic:blipFill>
                    <a:blip r:embed="rId26"/>
                    <a:stretch>
                      <a:fillRect/>
                    </a:stretch>
                  </pic:blipFill>
                  <pic:spPr>
                    <a:xfrm>
                      <a:off x="0" y="0"/>
                      <a:ext cx="5394960" cy="3034665"/>
                    </a:xfrm>
                    <a:prstGeom prst="rect"/>
                  </pic:spPr>
                </pic:pic>
              </a:graphicData>
            </a:graphic>
          </wp:inline>
        </w:drawing>
      </w:r>
    </w:p>
    <w:p>
      <w:pPr>
        <w:jc w:val="center"/>
      </w:pPr>
      <w:r>
        <w:rPr>
          <w:i/>
          <w:color w:val="60646B"/>
          <w:sz w:val="17"/>
        </w:rPr>
        <w:t>Salesforce accounts verified</w:t>
      </w:r>
    </w:p>
    <w:p>
      <w:pPr>
        <w:jc w:val="center"/>
      </w:pPr>
      <w:r>
        <w:drawing>
          <wp:inline xmlns:a="http://schemas.openxmlformats.org/drawingml/2006/main" xmlns:pic="http://schemas.openxmlformats.org/drawingml/2006/picture">
            <wp:extent cx="5394960" cy="3034665"/>
            <wp:docPr id="36" name="Picture 36"/>
            <wp:cNvGraphicFramePr>
              <a:graphicFrameLocks noChangeAspect="1"/>
            </wp:cNvGraphicFramePr>
            <a:graphic>
              <a:graphicData uri="http://schemas.openxmlformats.org/drawingml/2006/picture">
                <pic:pic>
                  <pic:nvPicPr>
                    <pic:cNvPr id="0" name="09_Salesforce_contacts_verified.png"/>
                    <pic:cNvPicPr/>
                  </pic:nvPicPr>
                  <pic:blipFill>
                    <a:blip r:embed="rId27"/>
                    <a:stretch>
                      <a:fillRect/>
                    </a:stretch>
                  </pic:blipFill>
                  <pic:spPr>
                    <a:xfrm>
                      <a:off x="0" y="0"/>
                      <a:ext cx="5394960" cy="3034665"/>
                    </a:xfrm>
                    <a:prstGeom prst="rect"/>
                  </pic:spPr>
                </pic:pic>
              </a:graphicData>
            </a:graphic>
          </wp:inline>
        </w:drawing>
      </w:r>
    </w:p>
    <w:p>
      <w:pPr>
        <w:jc w:val="center"/>
      </w:pPr>
      <w:r>
        <w:rPr>
          <w:i/>
          <w:color w:val="60646B"/>
          <w:sz w:val="17"/>
        </w:rPr>
        <w:t>Salesforce contacts verified</w:t>
      </w:r>
    </w:p>
    <w:p>
      <w:pPr>
        <w:jc w:val="center"/>
      </w:pPr>
      <w:r>
        <w:drawing>
          <wp:inline xmlns:a="http://schemas.openxmlformats.org/drawingml/2006/main" xmlns:pic="http://schemas.openxmlformats.org/drawingml/2006/picture">
            <wp:extent cx="5394960" cy="3034665"/>
            <wp:docPr id="37" name="Picture 37"/>
            <wp:cNvGraphicFramePr>
              <a:graphicFrameLocks noChangeAspect="1"/>
            </wp:cNvGraphicFramePr>
            <a:graphic>
              <a:graphicData uri="http://schemas.openxmlformats.org/drawingml/2006/picture">
                <pic:pic>
                  <pic:nvPicPr>
                    <pic:cNvPr id="0" name="10_Salesforce_leads_verified.png"/>
                    <pic:cNvPicPr/>
                  </pic:nvPicPr>
                  <pic:blipFill>
                    <a:blip r:embed="rId28"/>
                    <a:stretch>
                      <a:fillRect/>
                    </a:stretch>
                  </pic:blipFill>
                  <pic:spPr>
                    <a:xfrm>
                      <a:off x="0" y="0"/>
                      <a:ext cx="5394960" cy="3034665"/>
                    </a:xfrm>
                    <a:prstGeom prst="rect"/>
                  </pic:spPr>
                </pic:pic>
              </a:graphicData>
            </a:graphic>
          </wp:inline>
        </w:drawing>
      </w:r>
    </w:p>
    <w:p>
      <w:pPr>
        <w:jc w:val="center"/>
      </w:pPr>
      <w:r>
        <w:rPr>
          <w:i/>
          <w:color w:val="60646B"/>
          <w:sz w:val="17"/>
        </w:rPr>
        <w:t>Salesforce leads verified</w:t>
      </w:r>
    </w:p>
    <w:p>
      <w:pPr>
        <w:jc w:val="center"/>
      </w:pPr>
      <w:r>
        <w:drawing>
          <wp:inline xmlns:a="http://schemas.openxmlformats.org/drawingml/2006/main" xmlns:pic="http://schemas.openxmlformats.org/drawingml/2006/picture">
            <wp:extent cx="5394960" cy="3034665"/>
            <wp:docPr id="38" name="Picture 38"/>
            <wp:cNvGraphicFramePr>
              <a:graphicFrameLocks noChangeAspect="1"/>
            </wp:cNvGraphicFramePr>
            <a:graphic>
              <a:graphicData uri="http://schemas.openxmlformats.org/drawingml/2006/picture">
                <pic:pic>
                  <pic:nvPicPr>
                    <pic:cNvPr id="0" name="11_Salesforce_opportunities_verified.png"/>
                    <pic:cNvPicPr/>
                  </pic:nvPicPr>
                  <pic:blipFill>
                    <a:blip r:embed="rId29"/>
                    <a:stretch>
                      <a:fillRect/>
                    </a:stretch>
                  </pic:blipFill>
                  <pic:spPr>
                    <a:xfrm>
                      <a:off x="0" y="0"/>
                      <a:ext cx="5394960" cy="3034665"/>
                    </a:xfrm>
                    <a:prstGeom prst="rect"/>
                  </pic:spPr>
                </pic:pic>
              </a:graphicData>
            </a:graphic>
          </wp:inline>
        </w:drawing>
      </w:r>
    </w:p>
    <w:p>
      <w:pPr>
        <w:jc w:val="center"/>
      </w:pPr>
      <w:r>
        <w:rPr>
          <w:i/>
          <w:color w:val="60646B"/>
          <w:sz w:val="17"/>
        </w:rPr>
        <w:t>Salesforce opportunities verified</w:t>
      </w:r>
    </w:p>
    <w:p>
      <w:pPr>
        <w:jc w:val="center"/>
      </w:pPr>
      <w:r>
        <w:drawing>
          <wp:inline xmlns:a="http://schemas.openxmlformats.org/drawingml/2006/main" xmlns:pic="http://schemas.openxmlformats.org/drawingml/2006/picture">
            <wp:extent cx="5394960" cy="2567148"/>
            <wp:docPr id="39" name="Picture 39"/>
            <wp:cNvGraphicFramePr>
              <a:graphicFrameLocks noChangeAspect="1"/>
            </wp:cNvGraphicFramePr>
            <a:graphic>
              <a:graphicData uri="http://schemas.openxmlformats.org/drawingml/2006/picture">
                <pic:pic>
                  <pic:nvPicPr>
                    <pic:cNvPr id="0" name="12_NiFi_salesforce_to_fabric_clean.png"/>
                    <pic:cNvPicPr/>
                  </pic:nvPicPr>
                  <pic:blipFill>
                    <a:blip r:embed="rId38"/>
                    <a:stretch>
                      <a:fillRect/>
                    </a:stretch>
                  </pic:blipFill>
                  <pic:spPr>
                    <a:xfrm>
                      <a:off x="0" y="0"/>
                      <a:ext cx="5394960" cy="2567148"/>
                    </a:xfrm>
                    <a:prstGeom prst="rect"/>
                  </pic:spPr>
                </pic:pic>
              </a:graphicData>
            </a:graphic>
          </wp:inline>
        </w:drawing>
      </w:r>
    </w:p>
    <w:p>
      <w:pPr>
        <w:jc w:val="center"/>
      </w:pPr>
      <w:r>
        <w:rPr>
          <w:i/>
          <w:color w:val="60646B"/>
          <w:sz w:val="17"/>
        </w:rPr>
        <w:t>NiFi salesforce to fabric clean</w:t>
      </w:r>
    </w:p>
    <w:p>
      <w:pPr>
        <w:pStyle w:val="Heading2"/>
        <w:spacing w:before="320"/>
      </w:pPr>
      <w:r>
        <w:rPr>
          <w:rFonts w:ascii="Calibri" w:hAnsi="Calibri"/>
          <w:b/>
          <w:color w:val="1D1D1B"/>
          <w:sz w:val="34"/>
        </w:rPr>
        <w:t>7.7  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For reporting, On-campus remains On-campus and listings in the Online education section are classified as Off-campus; the source section is retained separately.</w:t>
      </w:r>
    </w:p>
    <w:p>
      <w:pPr>
        <w:pStyle w:val="ListBullet"/>
      </w:pPr>
      <w:r>
        <w:t>All people, campaign spend, application outcomes and student results are synthetic. Progress dated after the capture date is an illustrative scenario, not a forecast.</w:t>
      </w:r>
    </w:p>
    <w:p>
      <w:pPr>
        <w:pStyle w:val="ListBullet"/>
      </w:pPr>
      <w:r>
        <w:t>DuckDB is fully validated. Fabric bronze loading and dbt connectivity are verified, but the Fabric silver and gold build has documented DuckDB-to-T-SQL compatibility errors. No downstream Fabric transformation result is claimed until those are corrected and rerun.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jfif"/><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