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09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pPr>
        <w:spacing w:before="0"/>
      </w:pPr>
      <w:r>
        <w:rPr>
          <w:b/>
          <w:color w:val="E03127"/>
          <w:sz w:val="40"/>
        </w:rPr>
        <w:t>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2,638,726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spacing w:before="320"/>
      </w:pPr>
      <w:r>
        <w:rPr>
          <w:b/>
          <w:color w:val="22252A"/>
          <w:sz w:val="34"/>
        </w:rPr>
        <w:t>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1,110,674 (from 1,138,726 records)</w:t>
            </w:r>
          </w:p>
        </w:tc>
      </w:tr>
      <w:tr>
        <w:tc>
          <w:tcPr>
            <w:tcW w:type="dxa" w:w="4320"/>
          </w:tcPr>
          <w:p>
            <w:r>
              <w:t>Opportunities in the admissions pipeline</w:t>
            </w:r>
          </w:p>
        </w:tc>
        <w:tc>
          <w:tcPr>
            <w:tcW w:type="dxa" w:w="4320"/>
          </w:tcPr>
          <w:p>
            <w:r>
              <w:t>706,010</w:t>
            </w:r>
          </w:p>
        </w:tc>
      </w:tr>
      <w:tr>
        <w:tc>
          <w:tcPr>
            <w:tcW w:type="dxa" w:w="4320"/>
          </w:tcPr>
          <w:p>
            <w:r>
              <w:t>Applications submitted</w:t>
            </w:r>
          </w:p>
        </w:tc>
        <w:tc>
          <w:tcPr>
            <w:tcW w:type="dxa" w:w="4320"/>
          </w:tcPr>
          <w:p>
            <w:r>
              <w:t>494,352</w:t>
            </w:r>
          </w:p>
        </w:tc>
      </w:tr>
      <w:tr>
        <w:tc>
          <w:tcPr>
            <w:tcW w:type="dxa" w:w="4320"/>
          </w:tcPr>
          <w:p>
            <w:r>
              <w:t>Enrolments</w:t>
            </w:r>
          </w:p>
        </w:tc>
        <w:tc>
          <w:tcPr>
            <w:tcW w:type="dxa" w:w="4320"/>
          </w:tcPr>
          <w:p>
            <w:r>
              <w:t>168,157</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R1,302.6m</w:t>
            </w:r>
          </w:p>
        </w:tc>
      </w:tr>
      <w:tr>
        <w:tc>
          <w:tcPr>
            <w:tcW w:type="dxa" w:w="4320"/>
          </w:tcPr>
          <w:p>
            <w:r>
              <w:t>Data quality issues detected</w:t>
            </w:r>
          </w:p>
        </w:tc>
        <w:tc>
          <w:tcPr>
            <w:tcW w:type="dxa" w:w="4320"/>
          </w:tcPr>
          <w:p>
            <w:r>
              <w:t>287,473</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1" name="Picture 1"/>
            <wp:cNvGraphicFramePr>
              <a:graphicFrameLocks noChangeAspect="1"/>
            </wp:cNvGraphicFramePr>
            <a:graphic>
              <a:graphicData uri="http://schemas.openxmlformats.org/drawingml/2006/picture">
                <pic:pic>
                  <pic:nvPicPr>
                    <pic:cNvPr id="0" name="funnel.png"/>
                    <pic:cNvPicPr/>
                  </pic:nvPicPr>
                  <pic:blipFill>
                    <a:blip r:embed="rId9"/>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spacing w:before="320"/>
      </w:pPr>
      <w:r>
        <w:rPr>
          <w:b/>
          <w:color w:val="22252A"/>
          <w:sz w:val="34"/>
        </w:rPr>
        <w:t>Where the marketing money goes</w:t>
      </w:r>
    </w:p>
    <w:p>
      <w:r>
        <w:t>Cost per enrolment sits between R3,399 and R5,129 across channels, on a return of 1.6x to 2.3x. Career expo returns the most per rand at 2.29x; Webinar the least at 1.55x.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cpe.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spacing w:before="320"/>
      </w:pPr>
      <w:r>
        <w:rPr>
          <w:b/>
          <w:color w:val="22252A"/>
          <w:sz w:val="34"/>
        </w:rPr>
        <w:t>Student success as an early warning</w:t>
      </w:r>
    </w:p>
    <w:p>
      <w:r>
        <w:t>Attendance opens at 83% and decays to 68% by week 19. The proportion of students meeting the at-risk definition - attendance under 55%, or assessment average under 50%, or three or more overdue assignments - moves from 7%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risk.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spacing w:before="320"/>
      </w:pPr>
      <w:r>
        <w:rPr>
          <w:b/>
          <w:color w:val="22252A"/>
          <w:sz w:val="34"/>
        </w:rPr>
        <w:t>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2,890,883 injected defects the pipeline detects 287,473 issues. De-duplication recovers 0.97 of the duplicates that were planted.</w:t>
      </w:r>
    </w:p>
    <w:p>
      <w:pPr>
        <w:spacing w:before="240"/>
      </w:pPr>
      <w:r>
        <w:rPr>
          <w:b/>
          <w:color w:val="22252A"/>
          <w:sz w:val="26"/>
        </w:rPr>
        <w:t>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4" name="Picture 4"/>
            <wp:cNvGraphicFramePr>
              <a:graphicFrameLocks noChangeAspect="1"/>
            </wp:cNvGraphicFramePr>
            <a:graphic>
              <a:graphicData uri="http://schemas.openxmlformats.org/drawingml/2006/picture">
                <pic:pic>
                  <pic:nvPicPr>
                    <pic:cNvPr id="0" name="dq.png"/>
                    <pic:cNvPicPr/>
                  </pic:nvPicPr>
                  <pic:blipFill>
                    <a:blip r:embed="rId12"/>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spacing w:before="320"/>
      </w:pPr>
      <w:r>
        <w:rPr>
          <w:b/>
          <w:color w:val="22252A"/>
          <w:sz w:val="34"/>
        </w:rPr>
        <w:t>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spacing w:before="320"/>
      </w:pPr>
      <w:r>
        <w:rPr>
          <w:b/>
          <w:color w:val="22252A"/>
          <w:sz w:val="34"/>
        </w:rPr>
        <w:t>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spacing w:before="320"/>
      </w:pPr>
      <w:r>
        <w:rPr>
          <w:b/>
          <w:color w:val="22252A"/>
          <w:sz w:val="34"/>
        </w:rPr>
        <w:t>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pPr>
        <w:spacing w:before="320"/>
      </w:pPr>
      <w:r>
        <w:rPr>
          <w:b/>
          <w:color w:val="22252A"/>
          <w:sz w:val="34"/>
        </w:rPr>
        <w:t>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