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E03127"/>
          <w:sz w:val="80"/>
        </w:rPr>
        <w:t>Red &amp; Yellow</w:t>
      </w:r>
    </w:p>
    <w:p>
      <w:r>
        <w:rPr>
          <w:color w:val="22252A"/>
          <w:sz w:val="34"/>
        </w:rPr>
        <w:t>From marketing spend to student outcomes</w:t>
      </w:r>
    </w:p>
    <w:p>
      <w:r>
        <w:rPr>
          <w:color w:val="5A6472"/>
          <w:sz w:val="23"/>
        </w:rPr>
        <w:t>A CRM analytics platform built on Salesforce, Apache NiFi, dbt, Microsoft Fabric and Power BI</w:t>
      </w:r>
    </w:p>
    <w:p>
      <w:r>
        <w:rPr>
          <w:color w:val="5A6472"/>
          <w:sz w:val="20"/>
        </w:rPr>
        <w:br/>
        <w:t>09 September 2026   ·   Anthony Apollis</w:t>
      </w:r>
    </w:p>
    <w:p>
      <w:r>
        <w:rPr>
          <w:i/>
          <w:color w:val="5A6472"/>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pPr>
        <w:spacing w:before="0"/>
      </w:pPr>
      <w:r>
        <w:rPr>
          <w:b/>
          <w:color w:val="E03127"/>
          <w:sz w:val="40"/>
        </w:rPr>
        <w:t>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2,638,726 people and 9.4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spacing w:before="320"/>
      </w:pPr>
      <w:r>
        <w:rPr>
          <w:b/>
          <w:color w:val="22252A"/>
          <w:sz w:val="34"/>
        </w:rPr>
        <w:t>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1,110,674 (from 1,138,726 records)</w:t>
            </w:r>
          </w:p>
        </w:tc>
      </w:tr>
      <w:tr>
        <w:tc>
          <w:tcPr>
            <w:tcW w:type="dxa" w:w="4320"/>
          </w:tcPr>
          <w:p>
            <w:r>
              <w:t>Opportunities in the admissions pipeline</w:t>
            </w:r>
          </w:p>
        </w:tc>
        <w:tc>
          <w:tcPr>
            <w:tcW w:type="dxa" w:w="4320"/>
          </w:tcPr>
          <w:p>
            <w:r>
              <w:t>706,010</w:t>
            </w:r>
          </w:p>
        </w:tc>
      </w:tr>
      <w:tr>
        <w:tc>
          <w:tcPr>
            <w:tcW w:type="dxa" w:w="4320"/>
          </w:tcPr>
          <w:p>
            <w:r>
              <w:t>Applications submitted</w:t>
            </w:r>
          </w:p>
        </w:tc>
        <w:tc>
          <w:tcPr>
            <w:tcW w:type="dxa" w:w="4320"/>
          </w:tcPr>
          <w:p>
            <w:r>
              <w:t>494,352</w:t>
            </w:r>
          </w:p>
        </w:tc>
      </w:tr>
      <w:tr>
        <w:tc>
          <w:tcPr>
            <w:tcW w:type="dxa" w:w="4320"/>
          </w:tcPr>
          <w:p>
            <w:r>
              <w:t>Enrolments</w:t>
            </w:r>
          </w:p>
        </w:tc>
        <w:tc>
          <w:tcPr>
            <w:tcW w:type="dxa" w:w="4320"/>
          </w:tcPr>
          <w:p>
            <w:r>
              <w:t>168,157</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R1,302.6m</w:t>
            </w:r>
          </w:p>
        </w:tc>
      </w:tr>
      <w:tr>
        <w:tc>
          <w:tcPr>
            <w:tcW w:type="dxa" w:w="4320"/>
          </w:tcPr>
          <w:p>
            <w:r>
              <w:t>Data quality issues detected</w:t>
            </w:r>
          </w:p>
        </w:tc>
        <w:tc>
          <w:tcPr>
            <w:tcW w:type="dxa" w:w="4320"/>
          </w:tcPr>
          <w:p>
            <w:r>
              <w:t>287,473</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1" name="Picture 1"/>
            <wp:cNvGraphicFramePr>
              <a:graphicFrameLocks noChangeAspect="1"/>
            </wp:cNvGraphicFramePr>
            <a:graphic>
              <a:graphicData uri="http://schemas.openxmlformats.org/drawingml/2006/picture">
                <pic:pic>
                  <pic:nvPicPr>
                    <pic:cNvPr id="0" name="funnel.png"/>
                    <pic:cNvPicPr/>
                  </pic:nvPicPr>
                  <pic:blipFill>
                    <a:blip r:embed="rId9"/>
                    <a:stretch>
                      <a:fillRect/>
                    </a:stretch>
                  </pic:blipFill>
                  <pic:spPr>
                    <a:xfrm>
                      <a:off x="0" y="0"/>
                      <a:ext cx="5577840" cy="2614612"/>
                    </a:xfrm>
                    <a:prstGeom prst="rect"/>
                  </pic:spPr>
                </pic:pic>
              </a:graphicData>
            </a:graphic>
          </wp:inline>
        </w:drawing>
      </w:r>
    </w:p>
    <w:p>
      <w:pPr>
        <w:jc w:val="center"/>
      </w:pPr>
      <w:r>
        <w:rPr>
          <w:i/>
          <w:color w:val="5A6472"/>
          <w:sz w:val="17"/>
        </w:rPr>
        <w:t>Figure 1 - The funnel by stage. Leads and contacts overlap, so the step between them is not attrition.</w:t>
      </w:r>
    </w:p>
    <w:p>
      <w:pPr>
        <w:spacing w:before="320"/>
      </w:pPr>
      <w:r>
        <w:rPr>
          <w:b/>
          <w:color w:val="22252A"/>
          <w:sz w:val="34"/>
        </w:rPr>
        <w:t>Where the marketing money goes</w:t>
      </w:r>
    </w:p>
    <w:p>
      <w:r>
        <w:t>Cost per enrolment sits between R3,399 and R5,129 across channels, on a return of 1.6x to 2.3x. Career expo returns the most per rand at 2.29x; Webinar the least at 1.55x.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cpe.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5A6472"/>
          <w:sz w:val="17"/>
        </w:rPr>
        <w:t>Figure 2 - Cost per enrolment by channel.</w:t>
      </w:r>
    </w:p>
    <w:p>
      <w:pPr>
        <w:spacing w:before="320"/>
      </w:pPr>
      <w:r>
        <w:rPr>
          <w:b/>
          <w:color w:val="22252A"/>
          <w:sz w:val="34"/>
        </w:rPr>
        <w:t>Student success as an early warning</w:t>
      </w:r>
    </w:p>
    <w:p>
      <w:r>
        <w:t>Attendance opens at 83% and decays to 68% by week 19. The proportion of students meeting the at-risk definition - attendance under 55%, or assessment average under 50%, or three or more overdue assignments - moves from 7%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risk.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5A6472"/>
          <w:sz w:val="17"/>
        </w:rPr>
        <w:t>Figure 3 - Academic health across the study weeks.</w:t>
      </w:r>
    </w:p>
    <w:p>
      <w:pPr>
        <w:spacing w:before="320"/>
      </w:pPr>
      <w:r>
        <w:rPr>
          <w:b/>
          <w:color w:val="22252A"/>
          <w:sz w:val="34"/>
        </w:rPr>
        <w:t>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2,890,883 injected defects the pipeline detects 287,473 issues. De-duplication recovers 0.97 of the duplicates that were planted.</w:t>
      </w:r>
    </w:p>
    <w:p>
      <w:pPr>
        <w:spacing w:before="240"/>
      </w:pPr>
      <w:r>
        <w:rPr>
          <w:b/>
          <w:color w:val="22252A"/>
          <w:sz w:val="26"/>
        </w:rPr>
        <w:t>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4" name="Picture 4"/>
            <wp:cNvGraphicFramePr>
              <a:graphicFrameLocks noChangeAspect="1"/>
            </wp:cNvGraphicFramePr>
            <a:graphic>
              <a:graphicData uri="http://schemas.openxmlformats.org/drawingml/2006/picture">
                <pic:pic>
                  <pic:nvPicPr>
                    <pic:cNvPr id="0" name="dq.png"/>
                    <pic:cNvPicPr/>
                  </pic:nvPicPr>
                  <pic:blipFill>
                    <a:blip r:embed="rId12"/>
                    <a:stretch>
                      <a:fillRect/>
                    </a:stretch>
                  </pic:blipFill>
                  <pic:spPr>
                    <a:xfrm>
                      <a:off x="0" y="0"/>
                      <a:ext cx="5577840" cy="2963228"/>
                    </a:xfrm>
                    <a:prstGeom prst="rect"/>
                  </pic:spPr>
                </pic:pic>
              </a:graphicData>
            </a:graphic>
          </wp:inline>
        </w:drawing>
      </w:r>
    </w:p>
    <w:p>
      <w:pPr>
        <w:jc w:val="center"/>
      </w:pPr>
      <w:r>
        <w:rPr>
          <w:i/>
          <w:color w:val="5A6472"/>
          <w:sz w:val="17"/>
        </w:rPr>
        <w:t>Figure 4 - Detected issues by type.</w:t>
      </w:r>
    </w:p>
    <w:p>
      <w:pPr>
        <w:spacing w:before="320"/>
      </w:pPr>
      <w:r>
        <w:rPr>
          <w:b/>
          <w:color w:val="22252A"/>
          <w:sz w:val="34"/>
        </w:rPr>
        <w:t>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spacing w:before="320"/>
      </w:pPr>
      <w:r>
        <w:rPr>
          <w:b/>
          <w:color w:val="22252A"/>
          <w:sz w:val="34"/>
        </w:rPr>
        <w:t>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spacing w:before="320"/>
      </w:pPr>
      <w:r>
        <w:rPr>
          <w:b/>
          <w:color w:val="22252A"/>
          <w:sz w:val="34"/>
        </w:rPr>
        <w:t>The pipeline, end to end</w:t>
      </w:r>
    </w:p>
    <w:p>
      <w:pPr>
        <w:pStyle w:val="ListBullet"/>
      </w:pPr>
      <w:r>
        <w:rPr>
          <w:b/>
          <w:color w:val="E03127"/>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E03127"/>
        </w:rPr>
        <w:t xml:space="preserve">Land. </w:t>
      </w:r>
      <w:r>
        <w:t>Records are batched and written to the OneLake bronze layer, partitioned by object and ingest date. Failures retry three times before parking.</w:t>
      </w:r>
    </w:p>
    <w:p>
      <w:pPr>
        <w:pStyle w:val="ListBullet"/>
      </w:pPr>
      <w:r>
        <w:rPr>
          <w:b/>
          <w:color w:val="E03127"/>
        </w:rPr>
        <w:t xml:space="preserve">Transform. </w:t>
      </w:r>
      <w:r>
        <w:t>dbt cleanses once in staging - email validation, E.164 phone normalisation, province collapsing, entity resolution - then builds marts that assume clean inputs.</w:t>
      </w:r>
    </w:p>
    <w:p>
      <w:pPr>
        <w:pStyle w:val="ListBullet"/>
      </w:pPr>
      <w:r>
        <w:rPr>
          <w:b/>
          <w:color w:val="E03127"/>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E03127"/>
        </w:rPr>
        <w:t xml:space="preserve">Document. </w:t>
      </w:r>
      <w:r>
        <w:t>dbt docs generate produces the searchable catalogue with column-level lineage, so documentation is a build artefact rather than a wiki page that drifts.</w:t>
      </w:r>
    </w:p>
    <w:p>
      <w:pPr>
        <w:pStyle w:val="ListBullet"/>
      </w:pPr>
      <w:r>
        <w:rPr>
          <w:b/>
          <w:color w:val="E03127"/>
        </w:rPr>
        <w:t xml:space="preserve">Report. </w:t>
      </w:r>
      <w:r>
        <w:t>Power BI reads the curated marts. Every measure resolves to a tested model, not to a query written in the report.</w:t>
      </w:r>
    </w:p>
    <w:p>
      <w:r>
        <w:br w:type="page"/>
      </w:r>
    </w:p>
    <w:p>
      <w:pPr>
        <w:spacing w:before="0"/>
      </w:pPr>
      <w:r>
        <w:rPr>
          <w:b/>
          <w:color w:val="E03127"/>
          <w:sz w:val="40"/>
        </w:rPr>
        <w:t>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spacing w:before="280"/>
      </w:pPr>
      <w:r>
        <w:rPr>
          <w:b/>
          <w:color w:val="22252A"/>
          <w:sz w:val="26"/>
        </w:rPr>
        <w:t>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5" name="Picture 5"/>
            <wp:cNvGraphicFramePr>
              <a:graphicFrameLocks noChangeAspect="1"/>
            </wp:cNvGraphicFramePr>
            <a:graphic>
              <a:graphicData uri="http://schemas.openxmlformats.org/drawingml/2006/picture">
                <pic:pic>
                  <pic:nvPicPr>
                    <pic:cNvPr id="0" name="ev_01_org_check.png"/>
                    <pic:cNvPicPr/>
                  </pic:nvPicPr>
                  <pic:blipFill>
                    <a:blip r:embed="rId13"/>
                    <a:stretch>
                      <a:fillRect/>
                    </a:stretch>
                  </pic:blipFill>
                  <pic:spPr>
                    <a:xfrm>
                      <a:off x="0" y="0"/>
                      <a:ext cx="5577840" cy="3078579"/>
                    </a:xfrm>
                    <a:prstGeom prst="rect"/>
                  </pic:spPr>
                </pic:pic>
              </a:graphicData>
            </a:graphic>
          </wp:inline>
        </w:drawing>
      </w:r>
    </w:p>
    <w:p>
      <w:pPr>
        <w:jc w:val="center"/>
      </w:pPr>
      <w:r>
        <w:rPr>
          <w:i/>
          <w:color w:val="5A6472"/>
          <w:sz w:val="17"/>
        </w:rPr>
        <w:t>Figure 5 - The org capability check. Base Edition, 10.6 GB free, and a NO-GO on custom objects.</w:t>
      </w:r>
    </w:p>
    <w:p>
      <w:pPr>
        <w:spacing w:before="240"/>
      </w:pPr>
      <w:r>
        <w:rPr>
          <w:b/>
          <w:color w:val="22252A"/>
          <w:sz w:val="26"/>
        </w:rPr>
        <w:t>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6" name="Picture 6"/>
            <wp:cNvGraphicFramePr>
              <a:graphicFrameLocks noChangeAspect="1"/>
            </wp:cNvGraphicFramePr>
            <a:graphic>
              <a:graphicData uri="http://schemas.openxmlformats.org/drawingml/2006/picture">
                <pic:pic>
                  <pic:nvPicPr>
                    <pic:cNvPr id="0" name="ev_02_metadata_validate.png"/>
                    <pic:cNvPicPr/>
                  </pic:nvPicPr>
                  <pic:blipFill>
                    <a:blip r:embed="rId14"/>
                    <a:stretch>
                      <a:fillRect/>
                    </a:stretch>
                  </pic:blipFill>
                  <pic:spPr>
                    <a:xfrm>
                      <a:off x="0" y="0"/>
                      <a:ext cx="5577840" cy="2939058"/>
                    </a:xfrm>
                    <a:prstGeom prst="rect"/>
                  </pic:spPr>
                </pic:pic>
              </a:graphicData>
            </a:graphic>
          </wp:inline>
        </w:drawing>
      </w:r>
    </w:p>
    <w:p>
      <w:pPr>
        <w:jc w:val="center"/>
      </w:pPr>
      <w:r>
        <w:rPr>
          <w:i/>
          <w:color w:val="5A6472"/>
          <w:sz w:val="17"/>
        </w:rPr>
        <w:t>Figure 6 - Metadata validated against the org. 18 of 18 components.</w:t>
      </w:r>
    </w:p>
    <w:p>
      <w:pPr>
        <w:spacing w:before="240"/>
      </w:pPr>
      <w:r>
        <w:rPr>
          <w:b/>
          <w:color w:val="22252A"/>
          <w:sz w:val="26"/>
        </w:rPr>
        <w:t>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7" name="Picture 7"/>
            <wp:cNvGraphicFramePr>
              <a:graphicFrameLocks noChangeAspect="1"/>
            </wp:cNvGraphicFramePr>
            <a:graphic>
              <a:graphicData uri="http://schemas.openxmlformats.org/drawingml/2006/picture">
                <pic:pic>
                  <pic:nvPicPr>
                    <pic:cNvPr id="0" name="ev_03_import_result.png"/>
                    <pic:cNvPicPr/>
                  </pic:nvPicPr>
                  <pic:blipFill>
                    <a:blip r:embed="rId15"/>
                    <a:stretch>
                      <a:fillRect/>
                    </a:stretch>
                  </pic:blipFill>
                  <pic:spPr>
                    <a:xfrm>
                      <a:off x="0" y="0"/>
                      <a:ext cx="5577840" cy="2368838"/>
                    </a:xfrm>
                    <a:prstGeom prst="rect"/>
                  </pic:spPr>
                </pic:pic>
              </a:graphicData>
            </a:graphic>
          </wp:inline>
        </w:drawing>
      </w:r>
    </w:p>
    <w:p>
      <w:pPr>
        <w:jc w:val="center"/>
      </w:pPr>
      <w:r>
        <w:rPr>
          <w:i/>
          <w:color w:val="5A6472"/>
          <w:sz w:val="17"/>
        </w:rPr>
        <w:t>Figure 7 - What the loader wrote.</w:t>
      </w:r>
    </w:p>
    <w:p>
      <w:pPr>
        <w:jc w:val="center"/>
      </w:pPr>
      <w:r>
        <w:drawing>
          <wp:inline xmlns:a="http://schemas.openxmlformats.org/drawingml/2006/main" xmlns:pic="http://schemas.openxmlformats.org/drawingml/2006/picture">
            <wp:extent cx="5577840" cy="2939058"/>
            <wp:docPr id="8" name="Picture 8"/>
            <wp:cNvGraphicFramePr>
              <a:graphicFrameLocks noChangeAspect="1"/>
            </wp:cNvGraphicFramePr>
            <a:graphic>
              <a:graphicData uri="http://schemas.openxmlformats.org/drawingml/2006/picture">
                <pic:pic>
                  <pic:nvPicPr>
                    <pic:cNvPr id="0" name="ev_04_org_counts.png"/>
                    <pic:cNvPicPr/>
                  </pic:nvPicPr>
                  <pic:blipFill>
                    <a:blip r:embed="rId16"/>
                    <a:stretch>
                      <a:fillRect/>
                    </a:stretch>
                  </pic:blipFill>
                  <pic:spPr>
                    <a:xfrm>
                      <a:off x="0" y="0"/>
                      <a:ext cx="5577840" cy="2939058"/>
                    </a:xfrm>
                    <a:prstGeom prst="rect"/>
                  </pic:spPr>
                </pic:pic>
              </a:graphicData>
            </a:graphic>
          </wp:inline>
        </w:drawing>
      </w:r>
    </w:p>
    <w:p>
      <w:pPr>
        <w:jc w:val="center"/>
      </w:pPr>
      <w:r>
        <w:rPr>
          <w:i/>
          <w:color w:val="5A6472"/>
          <w:sz w:val="17"/>
        </w:rPr>
        <w:t>Figure 8 - What is actually in the org, queried back through the API. The loader's claim and the org's state are different assertions; only the second is evidence.</w:t>
      </w:r>
    </w:p>
    <w:p>
      <w:pPr>
        <w:spacing w:before="240"/>
      </w:pPr>
      <w:r>
        <w:rPr>
          <w:b/>
          <w:color w:val="22252A"/>
          <w:sz w:val="26"/>
        </w:rPr>
        <w:t>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9" name="Picture 9"/>
            <wp:cNvGraphicFramePr>
              <a:graphicFrameLocks noChangeAspect="1"/>
            </wp:cNvGraphicFramePr>
            <a:graphic>
              <a:graphicData uri="http://schemas.openxmlformats.org/drawingml/2006/picture">
                <pic:pic>
                  <pic:nvPicPr>
                    <pic:cNvPr id="0" name="ev_05_extraction.png"/>
                    <pic:cNvPicPr/>
                  </pic:nvPicPr>
                  <pic:blipFill>
                    <a:blip r:embed="rId17"/>
                    <a:stretch>
                      <a:fillRect/>
                    </a:stretch>
                  </pic:blipFill>
                  <pic:spPr>
                    <a:xfrm>
                      <a:off x="0" y="0"/>
                      <a:ext cx="5577840" cy="2226283"/>
                    </a:xfrm>
                    <a:prstGeom prst="rect"/>
                  </pic:spPr>
                </pic:pic>
              </a:graphicData>
            </a:graphic>
          </wp:inline>
        </w:drawing>
      </w:r>
    </w:p>
    <w:p>
      <w:pPr>
        <w:jc w:val="center"/>
      </w:pPr>
      <w:r>
        <w:rPr>
          <w:i/>
          <w:color w:val="5A6472"/>
          <w:sz w:val="17"/>
        </w:rPr>
        <w:t>Figure 9 - Extraction manifest. Every row carries its source system, source id, source update time and extraction time.</w:t>
      </w:r>
    </w:p>
    <w:p>
      <w:pPr>
        <w:spacing w:before="240"/>
      </w:pPr>
      <w:r>
        <w:rPr>
          <w:b/>
          <w:color w:val="22252A"/>
          <w:sz w:val="26"/>
        </w:rPr>
        <w:t>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656063"/>
            <wp:docPr id="10" name="Picture 10"/>
            <wp:cNvGraphicFramePr>
              <a:graphicFrameLocks noChangeAspect="1"/>
            </wp:cNvGraphicFramePr>
            <a:graphic>
              <a:graphicData uri="http://schemas.openxmlformats.org/drawingml/2006/picture">
                <pic:pic>
                  <pic:nvPicPr>
                    <pic:cNvPr id="0" name="ev_06_dbt_tests.png"/>
                    <pic:cNvPicPr/>
                  </pic:nvPicPr>
                  <pic:blipFill>
                    <a:blip r:embed="rId18"/>
                    <a:stretch>
                      <a:fillRect/>
                    </a:stretch>
                  </pic:blipFill>
                  <pic:spPr>
                    <a:xfrm>
                      <a:off x="0" y="0"/>
                      <a:ext cx="5577840" cy="1656063"/>
                    </a:xfrm>
                    <a:prstGeom prst="rect"/>
                  </pic:spPr>
                </pic:pic>
              </a:graphicData>
            </a:graphic>
          </wp:inline>
        </w:drawing>
      </w:r>
    </w:p>
    <w:p>
      <w:pPr>
        <w:jc w:val="center"/>
      </w:pPr>
      <w:r>
        <w:rPr>
          <w:i/>
          <w:color w:val="5A6472"/>
          <w:sz w:val="17"/>
        </w:rPr>
        <w:t>Figure 10 - dbt build: models and data tests.</w:t>
      </w:r>
    </w:p>
    <w:p>
      <w:pPr>
        <w:spacing w:before="320"/>
      </w:pPr>
      <w:r>
        <w:rPr>
          <w:b/>
          <w:color w:val="22252A"/>
          <w:sz w:val="34"/>
        </w:rPr>
        <w:t>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