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240"/>
      </w:pPr>
      <w:r>
        <w:rPr>
          <w:rFonts w:ascii="Calibri" w:hAnsi="Calibri"/>
          <w:b/>
          <w:color w:val="1D1D1B"/>
          <w:sz w:val="32"/>
        </w:rPr>
        <w:t>2.6  Reconciliation: source to report</w:t>
      </w:r>
    </w:p>
    <w:p>
      <w:r>
        <w:t>What: this compares every raw Parquet source count with its staging model, then checks the campaign and revenue totals that feed Power BI. Why: it distinguishes a deliberate reduction, such as de-duplicating contacts, from a dropped partition or broken join. How: rerun the same dbt build and this table is regenerated from the read-only warehouse connection; a zero delta is an exact count match.</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Entity</w:t>
            </w:r>
          </w:p>
        </w:tc>
        <w:tc>
          <w:tcPr>
            <w:tcW w:type="dxa" w:w="2160"/>
          </w:tcPr>
          <w:p>
            <w:r>
              <w:t>Source rows</w:t>
            </w:r>
          </w:p>
        </w:tc>
        <w:tc>
          <w:tcPr>
            <w:tcW w:type="dxa" w:w="2160"/>
          </w:tcPr>
          <w:p>
            <w:r>
              <w:t>Staging rows</w:t>
            </w:r>
          </w:p>
        </w:tc>
        <w:tc>
          <w:tcPr>
            <w:tcW w:type="dxa" w:w="2160"/>
          </w:tcPr>
          <w:p>
            <w:r>
              <w:t>Delta</w:t>
            </w:r>
          </w:p>
        </w:tc>
      </w:tr>
      <w:tr>
        <w:tc>
          <w:tcPr>
            <w:tcW w:type="dxa" w:w="2160"/>
          </w:tcPr>
          <w:p>
            <w:r>
              <w:t>Lead</w:t>
            </w:r>
          </w:p>
        </w:tc>
        <w:tc>
          <w:tcPr>
            <w:tcW w:type="dxa" w:w="2160"/>
          </w:tcPr>
          <w:p>
            <w:r>
              <w:t>1,500,000</w:t>
            </w:r>
          </w:p>
        </w:tc>
        <w:tc>
          <w:tcPr>
            <w:tcW w:type="dxa" w:w="2160"/>
          </w:tcPr>
          <w:p>
            <w:r>
              <w:t>1,500,000</w:t>
            </w:r>
          </w:p>
        </w:tc>
        <w:tc>
          <w:tcPr>
            <w:tcW w:type="dxa" w:w="2160"/>
          </w:tcPr>
          <w:p>
            <w:r>
              <w:t>0</w:t>
            </w:r>
          </w:p>
        </w:tc>
      </w:tr>
      <w:tr>
        <w:tc>
          <w:tcPr>
            <w:tcW w:type="dxa" w:w="2160"/>
          </w:tcPr>
          <w:p>
            <w:r>
              <w:t>Contact</w:t>
            </w:r>
          </w:p>
        </w:tc>
        <w:tc>
          <w:tcPr>
            <w:tcW w:type="dxa" w:w="2160"/>
          </w:tcPr>
          <w:p>
            <w:r>
              <w:t>1,194,805</w:t>
            </w:r>
          </w:p>
        </w:tc>
        <w:tc>
          <w:tcPr>
            <w:tcW w:type="dxa" w:w="2160"/>
          </w:tcPr>
          <w:p>
            <w:r>
              <w:t>1,194,805</w:t>
            </w:r>
          </w:p>
        </w:tc>
        <w:tc>
          <w:tcPr>
            <w:tcW w:type="dxa" w:w="2160"/>
          </w:tcPr>
          <w:p>
            <w:r>
              <w:t>0</w:t>
            </w:r>
          </w:p>
        </w:tc>
      </w:tr>
      <w:tr>
        <w:tc>
          <w:tcPr>
            <w:tcW w:type="dxa" w:w="2160"/>
          </w:tcPr>
          <w:p>
            <w:r>
              <w:t>Opportunity</w:t>
            </w:r>
          </w:p>
        </w:tc>
        <w:tc>
          <w:tcPr>
            <w:tcW w:type="dxa" w:w="2160"/>
          </w:tcPr>
          <w:p>
            <w:r>
              <w:t>740,779</w:t>
            </w:r>
          </w:p>
        </w:tc>
        <w:tc>
          <w:tcPr>
            <w:tcW w:type="dxa" w:w="2160"/>
          </w:tcPr>
          <w:p>
            <w:r>
              <w:t>740,779</w:t>
            </w:r>
          </w:p>
        </w:tc>
        <w:tc>
          <w:tcPr>
            <w:tcW w:type="dxa" w:w="2160"/>
          </w:tcPr>
          <w:p>
            <w:r>
              <w:t>0</w:t>
            </w:r>
          </w:p>
        </w:tc>
      </w:tr>
      <w:tr>
        <w:tc>
          <w:tcPr>
            <w:tcW w:type="dxa" w:w="2160"/>
          </w:tcPr>
          <w:p>
            <w:r>
              <w:t>Application</w:t>
            </w:r>
          </w:p>
        </w:tc>
        <w:tc>
          <w:tcPr>
            <w:tcW w:type="dxa" w:w="2160"/>
          </w:tcPr>
          <w:p>
            <w:r>
              <w:t>533,360</w:t>
            </w:r>
          </w:p>
        </w:tc>
        <w:tc>
          <w:tcPr>
            <w:tcW w:type="dxa" w:w="2160"/>
          </w:tcPr>
          <w:p>
            <w:r>
              <w:t>533,360</w:t>
            </w:r>
          </w:p>
        </w:tc>
        <w:tc>
          <w:tcPr>
            <w:tcW w:type="dxa" w:w="2160"/>
          </w:tcPr>
          <w:p>
            <w:r>
              <w:t>0</w:t>
            </w:r>
          </w:p>
        </w:tc>
      </w:tr>
      <w:tr>
        <w:tc>
          <w:tcPr>
            <w:tcW w:type="dxa" w:w="2160"/>
          </w:tcPr>
          <w:p>
            <w:r>
              <w:t>Enrolment</w:t>
            </w:r>
          </w:p>
        </w:tc>
        <w:tc>
          <w:tcPr>
            <w:tcW w:type="dxa" w:w="2160"/>
          </w:tcPr>
          <w:p>
            <w:r>
              <w:t>304,168</w:t>
            </w:r>
          </w:p>
        </w:tc>
        <w:tc>
          <w:tcPr>
            <w:tcW w:type="dxa" w:w="2160"/>
          </w:tcPr>
          <w:p>
            <w:r>
              <w:t>304,168</w:t>
            </w:r>
          </w:p>
        </w:tc>
        <w:tc>
          <w:tcPr>
            <w:tcW w:type="dxa" w:w="2160"/>
          </w:tcPr>
          <w:p>
            <w:r>
              <w:t>0</w:t>
            </w:r>
          </w:p>
        </w:tc>
      </w:tr>
      <w:tr>
        <w:tc>
          <w:tcPr>
            <w:tcW w:type="dxa" w:w="2160"/>
          </w:tcPr>
          <w:p>
            <w:r>
              <w:t>Campaign</w:t>
            </w:r>
          </w:p>
        </w:tc>
        <w:tc>
          <w:tcPr>
            <w:tcW w:type="dxa" w:w="2160"/>
          </w:tcPr>
          <w:p>
            <w:r>
              <w:t>480</w:t>
            </w:r>
          </w:p>
        </w:tc>
        <w:tc>
          <w:tcPr>
            <w:tcW w:type="dxa" w:w="2160"/>
          </w:tcPr>
          <w:p>
            <w:r>
              <w:t>480</w:t>
            </w:r>
          </w:p>
        </w:tc>
        <w:tc>
          <w:tcPr>
            <w:tcW w:type="dxa" w:w="2160"/>
          </w:tcPr>
          <w:p>
            <w:r>
              <w:t>0</w:t>
            </w:r>
          </w:p>
        </w:tc>
      </w:tr>
      <w:tr>
        <w:tc>
          <w:tcPr>
            <w:tcW w:type="dxa" w:w="2160"/>
          </w:tcPr>
          <w:p>
            <w:r>
              <w:t>Campaign member</w:t>
            </w:r>
          </w:p>
        </w:tc>
        <w:tc>
          <w:tcPr>
            <w:tcW w:type="dxa" w:w="2160"/>
          </w:tcPr>
          <w:p>
            <w:r>
              <w:t>2,533,440</w:t>
            </w:r>
          </w:p>
        </w:tc>
        <w:tc>
          <w:tcPr>
            <w:tcW w:type="dxa" w:w="2160"/>
          </w:tcPr>
          <w:p>
            <w:r>
              <w:t>2,533,440</w:t>
            </w:r>
          </w:p>
        </w:tc>
        <w:tc>
          <w:tcPr>
            <w:tcW w:type="dxa" w:w="2160"/>
          </w:tcPr>
          <w:p>
            <w:r>
              <w:t>0</w:t>
            </w:r>
          </w:p>
        </w:tc>
      </w:tr>
      <w:tr>
        <w:tc>
          <w:tcPr>
            <w:tcW w:type="dxa" w:w="2160"/>
          </w:tcPr>
          <w:p>
            <w:r>
              <w:t>Student</w:t>
            </w:r>
          </w:p>
        </w:tc>
        <w:tc>
          <w:tcPr>
            <w:tcW w:type="dxa" w:w="2160"/>
          </w:tcPr>
          <w:p>
            <w:r>
              <w:t>254,931</w:t>
            </w:r>
          </w:p>
        </w:tc>
        <w:tc>
          <w:tcPr>
            <w:tcW w:type="dxa" w:w="2160"/>
          </w:tcPr>
          <w:p>
            <w:r>
              <w:t>254,931</w:t>
            </w:r>
          </w:p>
        </w:tc>
        <w:tc>
          <w:tcPr>
            <w:tcW w:type="dxa" w:w="2160"/>
          </w:tcPr>
          <w:p>
            <w:r>
              <w:t>0</w:t>
            </w:r>
          </w:p>
        </w:tc>
      </w:tr>
      <w:tr>
        <w:tc>
          <w:tcPr>
            <w:tcW w:type="dxa" w:w="2160"/>
          </w:tcPr>
          <w:p>
            <w:r>
              <w:t>Student progress</w:t>
            </w:r>
          </w:p>
        </w:tc>
        <w:tc>
          <w:tcPr>
            <w:tcW w:type="dxa" w:w="2160"/>
          </w:tcPr>
          <w:p>
            <w:r>
              <w:t>3,799,284</w:t>
            </w:r>
          </w:p>
        </w:tc>
        <w:tc>
          <w:tcPr>
            <w:tcW w:type="dxa" w:w="2160"/>
          </w:tcPr>
          <w:p>
            <w:r>
              <w:t>3,799,284</w:t>
            </w:r>
          </w:p>
        </w:tc>
        <w:tc>
          <w:tcPr>
            <w:tcW w:type="dxa" w:w="2160"/>
          </w:tcPr>
          <w:p>
            <w:r>
              <w:t>0</w:t>
            </w:r>
          </w:p>
        </w:tc>
      </w:tr>
      <w:tr>
        <w:tc>
          <w:tcPr>
            <w:tcW w:type="dxa" w:w="2160"/>
          </w:tcPr>
          <w:p>
            <w:r>
              <w:t>Programme</w:t>
            </w:r>
          </w:p>
        </w:tc>
        <w:tc>
          <w:tcPr>
            <w:tcW w:type="dxa" w:w="2160"/>
          </w:tcPr>
          <w:p>
            <w:r>
              <w:t>83</w:t>
            </w:r>
          </w:p>
        </w:tc>
        <w:tc>
          <w:tcPr>
            <w:tcW w:type="dxa" w:w="2160"/>
          </w:tcPr>
          <w:p>
            <w:r>
              <w:t>83</w:t>
            </w:r>
          </w:p>
        </w:tc>
        <w:tc>
          <w:tcPr>
            <w:tcW w:type="dxa" w:w="2160"/>
          </w:tcPr>
          <w:p>
            <w:r>
              <w:t>0</w:t>
            </w:r>
          </w:p>
        </w:tc>
      </w:tr>
      <w:tr>
        <w:tc>
          <w:tcPr>
            <w:tcW w:type="dxa" w:w="2160"/>
          </w:tcPr>
          <w:p>
            <w:r>
              <w:t>Offering</w:t>
            </w:r>
          </w:p>
        </w:tc>
        <w:tc>
          <w:tcPr>
            <w:tcW w:type="dxa" w:w="2160"/>
          </w:tcPr>
          <w:p>
            <w:r>
              <w:t>89</w:t>
            </w:r>
          </w:p>
        </w:tc>
        <w:tc>
          <w:tcPr>
            <w:tcW w:type="dxa" w:w="2160"/>
          </w:tcPr>
          <w:p>
            <w:r>
              <w:t>89</w:t>
            </w:r>
          </w:p>
        </w:tc>
        <w:tc>
          <w:tcPr>
            <w:tcW w:type="dxa" w:w="2160"/>
          </w:tcPr>
          <w:p>
            <w:r>
              <w:t>0</w:t>
            </w:r>
          </w:p>
        </w:tc>
      </w:tr>
      <w:tr>
        <w:tc>
          <w:tcPr>
            <w:tcW w:type="dxa" w:w="2160"/>
          </w:tcPr>
          <w:p>
            <w:r>
              <w:t>Intake</w:t>
            </w:r>
          </w:p>
        </w:tc>
        <w:tc>
          <w:tcPr>
            <w:tcW w:type="dxa" w:w="2160"/>
          </w:tcPr>
          <w:p>
            <w:r>
              <w:t>47</w:t>
            </w:r>
          </w:p>
        </w:tc>
        <w:tc>
          <w:tcPr>
            <w:tcW w:type="dxa" w:w="2160"/>
          </w:tcPr>
          <w:p>
            <w:r>
              <w:t>47</w:t>
            </w:r>
          </w:p>
        </w:tc>
        <w:tc>
          <w:tcPr>
            <w:tcW w:type="dxa" w:w="2160"/>
          </w:tcPr>
          <w:p>
            <w:r>
              <w:t>0</w:t>
            </w:r>
          </w:p>
        </w:tc>
      </w:tr>
    </w:tbl>
    <w:p>
      <w:r>
        <w:t>All 12 source-to-staging deltas are zero. The expected contact reduction is 1,165,332 golden people from 1,194,805 source contact records; the difference is the duplicate population resolved by the two-key entity model. The admissions fact contains 740,779 opportunity-grain rows and the campaign performance mart contains 480 campaign-grain rows.</w:t>
      </w:r>
    </w:p>
    <w:p>
      <w:r>
        <w:t>Financial reconciliation: campaign spend dimension R471,994,991.55 versus campaign fact R471,994,991.55 (MATCH); enrolment revenue staging R2,867,214,315.80 versus campaign fact R1,896,377,742.41 (REVIEW).</w:t>
      </w:r>
    </w:p>
    <w:p>
      <w:r>
        <w:t>The revenue REVIEW is explained by 103,218 enrolments carrying R970,836,573.39 without a primary campaign key. That amount remains in the enrolment staging total but cannot honestly be assigned to a campaign; the gap is R970,836,573.39, not a dropped record. Recommended solution: report this as an explicit unattributed segment, then improve campaign capture or backfill only from verified source evidence. Never distribute it across campaigns to force a match.</w:t>
      </w:r>
    </w:p>
    <w:p>
      <w:pPr>
        <w:pStyle w:val="Heading2"/>
        <w:spacing w:before="320"/>
      </w:pPr>
      <w:r>
        <w:rPr>
          <w:rFonts w:ascii="Calibri" w:hAnsi="Calibri"/>
          <w:b/>
          <w:color w:val="1D1D1B"/>
          <w:sz w:val="34"/>
        </w:rPr>
        <w:t>2.7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2.7.1  Course performance and early dropout risk</w:t>
      </w:r>
    </w:p>
    <w:p>
      <w:r>
        <w:t>Courses are ranked on the same first-four-week withdrawal model used in Power BI. Among cohorts with at least 100 records, Design Thinking has the lowest observed withdrawal rate (11.6%), while Part-Time Higher Certificate in Marketing and Branding is highest (13.3%). These are modelled synthetic cohorts, so the ranking is a prioritisation signal rather than a claim about the real institution.</w:t>
      </w:r>
    </w:p>
    <w:p>
      <w:r>
        <w:t>Use the ranking with attendance and assessment together: a course moves into early-warning review when first-month attendance falls below 65% or the predicted band is Elevated. Review cohort size, delivery mode and fee context before changing course marketing or student-support policy.</w:t>
      </w:r>
    </w:p>
    <w:p>
      <w:pPr>
        <w:jc w:val="center"/>
      </w:pPr>
      <w:r>
        <w:drawing>
          <wp:inline xmlns:a="http://schemas.openxmlformats.org/drawingml/2006/main" xmlns:pic="http://schemas.openxmlformats.org/drawingml/2006/picture">
            <wp:extent cx="5577840" cy="3224689"/>
            <wp:docPr id="10" name="Picture 10"/>
            <wp:cNvGraphicFramePr>
              <a:graphicFrameLocks noChangeAspect="1"/>
            </wp:cNvGraphicFramePr>
            <a:graphic>
              <a:graphicData uri="http://schemas.openxmlformats.org/drawingml/2006/picture">
                <pic:pic>
                  <pic:nvPicPr>
                    <pic:cNvPr id="0" name="prog_risk.png"/>
                    <pic:cNvPicPr/>
                  </pic:nvPicPr>
                  <pic:blipFill>
                    <a:blip r:embed="rId18"/>
                    <a:stretch>
                      <a:fillRect/>
                    </a:stretch>
                  </pic:blipFill>
                  <pic:spPr>
                    <a:xfrm>
                      <a:off x="0" y="0"/>
                      <a:ext cx="5577840" cy="3224689"/>
                    </a:xfrm>
                    <a:prstGeom prst="rect"/>
                  </pic:spPr>
                </pic:pic>
              </a:graphicData>
            </a:graphic>
          </wp:inline>
        </w:drawing>
      </w:r>
    </w:p>
    <w:p>
      <w:pPr>
        <w:jc w:val="center"/>
      </w:pPr>
      <w:r>
        <w:rPr>
          <w:i/>
          <w:color w:val="60646B"/>
          <w:sz w:val="17"/>
        </w:rPr>
        <w:t>Figure 4a - Lowest- and highest-withdrawal courses among modelled cohorts of at least 100 records.</w:t>
      </w:r>
    </w:p>
    <w:p>
      <w:pPr>
        <w:pStyle w:val="Heading3"/>
        <w:spacing w:before="240"/>
      </w:pPr>
      <w:r>
        <w:rPr>
          <w:rFonts w:ascii="Calibri" w:hAnsi="Calibri"/>
          <w:b/>
          <w:color w:val="1D1D1B"/>
          <w:sz w:val="26"/>
        </w:rPr>
        <w:t>2.7.2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1" name="Picture 11"/>
            <wp:cNvGraphicFramePr>
              <a:graphicFrameLocks noChangeAspect="1"/>
            </wp:cNvGraphicFramePr>
            <a:graphic>
              <a:graphicData uri="http://schemas.openxmlformats.org/drawingml/2006/picture">
                <pic:pic>
                  <pic:nvPicPr>
                    <pic:cNvPr id="0" name="province.png"/>
                    <pic:cNvPicPr/>
                  </pic:nvPicPr>
                  <pic:blipFill>
                    <a:blip r:embed="rId19"/>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2" name="Picture 12"/>
            <wp:cNvGraphicFramePr>
              <a:graphicFrameLocks noChangeAspect="1"/>
            </wp:cNvGraphicFramePr>
            <a:graphic>
              <a:graphicData uri="http://schemas.openxmlformats.org/drawingml/2006/picture">
                <pic:pic>
                  <pic:nvPicPr>
                    <pic:cNvPr id="0" name="student-cohort.jfif"/>
                    <pic:cNvPicPr/>
                  </pic:nvPicPr>
                  <pic:blipFill>
                    <a:blip r:embed="rId20"/>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2.7.3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3" name="Picture 13"/>
            <wp:cNvGraphicFramePr>
              <a:graphicFrameLocks noChangeAspect="1"/>
            </wp:cNvGraphicFramePr>
            <a:graphic>
              <a:graphicData uri="http://schemas.openxmlformats.org/drawingml/2006/picture">
                <pic:pic>
                  <pic:nvPicPr>
                    <pic:cNvPr id="0" name="conversion.png"/>
                    <pic:cNvPicPr/>
                  </pic:nvPicPr>
                  <pic:blipFill>
                    <a:blip r:embed="rId21"/>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2.8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2.9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2.10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4" name="Picture 14"/>
            <wp:cNvGraphicFramePr>
              <a:graphicFrameLocks noChangeAspect="1"/>
            </wp:cNvGraphicFramePr>
            <a:graphic>
              <a:graphicData uri="http://schemas.openxmlformats.org/drawingml/2006/picture">
                <pic:pic>
                  <pic:nvPicPr>
                    <pic:cNvPr id="0" name="ev_01_org_check.png"/>
                    <pic:cNvPicPr/>
                  </pic:nvPicPr>
                  <pic:blipFill>
                    <a:blip r:embed="rId22"/>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5" name="Picture 15"/>
            <wp:cNvGraphicFramePr>
              <a:graphicFrameLocks noChangeAspect="1"/>
            </wp:cNvGraphicFramePr>
            <a:graphic>
              <a:graphicData uri="http://schemas.openxmlformats.org/drawingml/2006/picture">
                <pic:pic>
                  <pic:nvPicPr>
                    <pic:cNvPr id="0" name="ev_02_metadata_validate.png"/>
                    <pic:cNvPicPr/>
                  </pic:nvPicPr>
                  <pic:blipFill>
                    <a:blip r:embed="rId23"/>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The supplied Salesforce Data Types reference was applied at the system boundary: Accounts, Contacts, Leads and Opportunities are operational CRM records, while raw GA4/clickstream events, detailed history and ML training data stay in the warehouse. These four standard objects were upserted on an external ID so the load is idempotent - re-running updates rather than duplicates. Two things pushed back, and both were right to. Salesforce rejects the external ID in the request body when it is already the key in the URL. Its duplicate rules also blocked leads that fuzzy-matched existing contacts at 100% confidence - the same duplicates the warehouse's own entity resolution finds, caught independently by the CRM.</w:t>
      </w:r>
    </w:p>
    <w:p>
      <w:r>
        <w:t>Live reconciliation on 10 September 2026 found 25 Accounts, 408 Contacts, 408 Leads and 250 Opportunities: 1,091 tagged records in total, with every count matching run_results/import_log.json. The Base Edition org cannot host the proposed custom Programme, Application, Student, Enrolment or Progress objects, and it does not support the campaign load in this reduced path. Those detailed objects remain in the warehouse until a Developer Edition or another edition with the required object entitlements is selected.</w:t>
      </w:r>
    </w:p>
    <w:p>
      <w:r>
        <w:t>Keep the populations separate when reading this report. The staged CRM sample pack in data/crm_load contains 48 Campaigns, 74 CampaignMembers, 162 Applications, 84 Enrolments, 192 Programme Enquiries, 81 Students and 192 Student Progress rows; these are not live Salesforce records in the Base Edition org. The larger synthetic analytics population lives in warehouse/raw, Fabric raw_salesforce and the DuckDB gold model used by Power BI, Excel and this ebook.</w:t>
      </w:r>
    </w:p>
    <w:p>
      <w:pPr>
        <w:jc w:val="center"/>
      </w:pPr>
      <w:r>
        <w:drawing>
          <wp:inline xmlns:a="http://schemas.openxmlformats.org/drawingml/2006/main" xmlns:pic="http://schemas.openxmlformats.org/drawingml/2006/picture">
            <wp:extent cx="5577840" cy="2368838"/>
            <wp:docPr id="16" name="Picture 16"/>
            <wp:cNvGraphicFramePr>
              <a:graphicFrameLocks noChangeAspect="1"/>
            </wp:cNvGraphicFramePr>
            <a:graphic>
              <a:graphicData uri="http://schemas.openxmlformats.org/drawingml/2006/picture">
                <pic:pic>
                  <pic:nvPicPr>
                    <pic:cNvPr id="0" name="ev_03_import_result.png"/>
                    <pic:cNvPicPr/>
                  </pic:nvPicPr>
                  <pic:blipFill>
                    <a:blip r:embed="rId24"/>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7" name="Picture 17"/>
            <wp:cNvGraphicFramePr>
              <a:graphicFrameLocks noChangeAspect="1"/>
            </wp:cNvGraphicFramePr>
            <a:graphic>
              <a:graphicData uri="http://schemas.openxmlformats.org/drawingml/2006/picture">
                <pic:pic>
                  <pic:nvPicPr>
                    <pic:cNvPr id="0" name="ev_04_org_counts.png"/>
                    <pic:cNvPicPr/>
                  </pic:nvPicPr>
                  <pic:blipFill>
                    <a:blip r:embed="rId25"/>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Salesforce record evidence</w:t>
      </w:r>
    </w:p>
    <w:p>
      <w:r>
        <w:t>The following panels show the exact non-deleted record counts queried from the authenticated Salesforce extract. Browser tabs and the Windows taskbar are intentionally removed so the evidence is readable in the ebook. Each panel shows representative rows and the verified total; it is evidence of the live standard-object slice, not the staged custom-object sample pack.</w:t>
      </w:r>
    </w:p>
    <w:p>
      <w:pPr>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8_Salesforce_accounts_verified.png"/>
                    <pic:cNvPicPr/>
                  </pic:nvPicPr>
                  <pic:blipFill>
                    <a:blip r:embed="rId26"/>
                    <a:stretch>
                      <a:fillRect/>
                    </a:stretch>
                  </pic:blipFill>
                  <pic:spPr>
                    <a:xfrm>
                      <a:off x="0" y="0"/>
                      <a:ext cx="5577840" cy="3137535"/>
                    </a:xfrm>
                    <a:prstGeom prst="rect"/>
                  </pic:spPr>
                </pic:pic>
              </a:graphicData>
            </a:graphic>
          </wp:inline>
        </w:drawing>
      </w:r>
    </w:p>
    <w:p>
      <w:pPr>
        <w:jc w:val="center"/>
      </w:pPr>
      <w:r>
        <w:rPr>
          <w:i/>
          <w:color w:val="60646B"/>
          <w:sz w:val="17"/>
        </w:rPr>
        <w:t>Figure 9 - Salesforce Accounts evidence: 25 verified records.</w:t>
      </w:r>
    </w:p>
    <w:p>
      <w:pPr>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9_Salesforce_contacts_verified.png"/>
                    <pic:cNvPicPr/>
                  </pic:nvPicPr>
                  <pic:blipFill>
                    <a:blip r:embed="rId27"/>
                    <a:stretch>
                      <a:fillRect/>
                    </a:stretch>
                  </pic:blipFill>
                  <pic:spPr>
                    <a:xfrm>
                      <a:off x="0" y="0"/>
                      <a:ext cx="5577840" cy="3137535"/>
                    </a:xfrm>
                    <a:prstGeom prst="rect"/>
                  </pic:spPr>
                </pic:pic>
              </a:graphicData>
            </a:graphic>
          </wp:inline>
        </w:drawing>
      </w:r>
    </w:p>
    <w:p>
      <w:pPr>
        <w:jc w:val="center"/>
      </w:pPr>
      <w:r>
        <w:rPr>
          <w:i/>
          <w:color w:val="60646B"/>
          <w:sz w:val="17"/>
        </w:rPr>
        <w:t>Figure 10 - Salesforce Contacts evidence: 408 verified records.</w:t>
      </w:r>
    </w:p>
    <w:p>
      <w:pPr>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Salesforce_leads_verified.png"/>
                    <pic:cNvPicPr/>
                  </pic:nvPicPr>
                  <pic:blipFill>
                    <a:blip r:embed="rId28"/>
                    <a:stretch>
                      <a:fillRect/>
                    </a:stretch>
                  </pic:blipFill>
                  <pic:spPr>
                    <a:xfrm>
                      <a:off x="0" y="0"/>
                      <a:ext cx="5577840" cy="3137535"/>
                    </a:xfrm>
                    <a:prstGeom prst="rect"/>
                  </pic:spPr>
                </pic:pic>
              </a:graphicData>
            </a:graphic>
          </wp:inline>
        </w:drawing>
      </w:r>
    </w:p>
    <w:p>
      <w:pPr>
        <w:jc w:val="center"/>
      </w:pPr>
      <w:r>
        <w:rPr>
          <w:i/>
          <w:color w:val="60646B"/>
          <w:sz w:val="17"/>
        </w:rPr>
        <w:t>Figure 11 - Salesforce Leads evidence: 408 verified records.</w:t>
      </w:r>
    </w:p>
    <w:p>
      <w:pPr>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11_Salesforce_opportunities_verified.png"/>
                    <pic:cNvPicPr/>
                  </pic:nvPicPr>
                  <pic:blipFill>
                    <a:blip r:embed="rId29"/>
                    <a:stretch>
                      <a:fillRect/>
                    </a:stretch>
                  </pic:blipFill>
                  <pic:spPr>
                    <a:xfrm>
                      <a:off x="0" y="0"/>
                      <a:ext cx="5577840" cy="3137535"/>
                    </a:xfrm>
                    <a:prstGeom prst="rect"/>
                  </pic:spPr>
                </pic:pic>
              </a:graphicData>
            </a:graphic>
          </wp:inline>
        </w:drawing>
      </w:r>
    </w:p>
    <w:p>
      <w:pPr>
        <w:jc w:val="center"/>
      </w:pPr>
      <w:r>
        <w:rPr>
          <w:i/>
          <w:color w:val="60646B"/>
          <w:sz w:val="17"/>
        </w:rPr>
        <w:t>Figure 12 - Salesforce Opportunities evidence: 250 verified records.</w:t>
      </w:r>
    </w:p>
    <w:p>
      <w:pPr>
        <w:pStyle w:val="Heading2"/>
        <w:spacing w:before="240"/>
      </w:pPr>
      <w:r>
        <w:rPr>
          <w:rFonts w:ascii="Calibri" w:hAnsi="Calibri"/>
          <w:b/>
          <w:color w:val="1D1D1B"/>
          <w:sz w:val="32"/>
        </w:rPr>
        <w:t>3.5  5.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22" name="Picture 22"/>
            <wp:cNvGraphicFramePr>
              <a:graphicFrameLocks noChangeAspect="1"/>
            </wp:cNvGraphicFramePr>
            <a:graphic>
              <a:graphicData uri="http://schemas.openxmlformats.org/drawingml/2006/picture">
                <pic:pic>
                  <pic:nvPicPr>
                    <pic:cNvPr id="0" name="ev_05_extraction.png"/>
                    <pic:cNvPicPr/>
                  </pic:nvPicPr>
                  <pic:blipFill>
                    <a:blip r:embed="rId30"/>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3.6  6.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23" name="Picture 23"/>
            <wp:cNvGraphicFramePr>
              <a:graphicFrameLocks noChangeAspect="1"/>
            </wp:cNvGraphicFramePr>
            <a:graphic>
              <a:graphicData uri="http://schemas.openxmlformats.org/drawingml/2006/picture">
                <pic:pic>
                  <pic:nvPicPr>
                    <pic:cNvPr id="0" name="ev_06_dbt_tests.png"/>
                    <pic:cNvPicPr/>
                  </pic:nvPicPr>
                  <pic:blipFill>
                    <a:blip r:embed="rId31"/>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24" name="Picture 24"/>
            <wp:cNvGraphicFramePr>
              <a:graphicFrameLocks noChangeAspect="1"/>
            </wp:cNvGraphicFramePr>
            <a:graphic>
              <a:graphicData uri="http://schemas.openxmlformats.org/drawingml/2006/picture">
                <pic:pic>
                  <pic:nvPicPr>
                    <pic:cNvPr id="0" name="ml_bands.png"/>
                    <pic:cNvPicPr/>
                  </pic:nvPicPr>
                  <pic:blipFill>
                    <a:blip r:embed="rId32"/>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5" name="Picture 25"/>
            <wp:cNvGraphicFramePr>
              <a:graphicFrameLocks noChangeAspect="1"/>
            </wp:cNvGraphicFramePr>
            <a:graphic>
              <a:graphicData uri="http://schemas.openxmlformats.org/drawingml/2006/picture">
                <pic:pic>
                  <pic:nvPicPr>
                    <pic:cNvPr id="0" name="ml_importance.png"/>
                    <pic:cNvPicPr/>
                  </pic:nvPicPr>
                  <pic:blipFill>
                    <a:blip r:embed="rId33"/>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6" name="Picture 26"/>
            <wp:cNvGraphicFramePr>
              <a:graphicFrameLocks noChangeAspect="1"/>
            </wp:cNvGraphicFramePr>
            <a:graphic>
              <a:graphicData uri="http://schemas.openxmlformats.org/drawingml/2006/picture">
                <pic:pic>
                  <pic:nvPicPr>
                    <pic:cNvPr id="0" name="ev_09_medallion.png"/>
                    <pic:cNvPicPr/>
                  </pic:nvPicPr>
                  <pic:blipFill>
                    <a:blip r:embed="rId34"/>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7" name="Picture 27"/>
            <wp:cNvGraphicFramePr>
              <a:graphicFrameLocks noChangeAspect="1"/>
            </wp:cNvGraphicFramePr>
            <a:graphic>
              <a:graphicData uri="http://schemas.openxmlformats.org/drawingml/2006/picture">
                <pic:pic>
                  <pic:nvPicPr>
                    <pic:cNvPr id="0" name="03_Canonical_ERD.png"/>
                    <pic:cNvPicPr/>
                  </pic:nvPicPr>
                  <pic:blipFill>
                    <a:blip r:embed="rId35"/>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8" name="Picture 28"/>
            <wp:cNvGraphicFramePr>
              <a:graphicFrameLocks noChangeAspect="1"/>
            </wp:cNvGraphicFramePr>
            <a:graphic>
              <a:graphicData uri="http://schemas.openxmlformats.org/drawingml/2006/picture">
                <pic:pic>
                  <pic:nvPicPr>
                    <pic:cNvPr id="0" name="ev_10_data_model.png"/>
                    <pic:cNvPicPr/>
                  </pic:nvPicPr>
                  <pic:blipFill>
                    <a:blip r:embed="rId36"/>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9" name="Picture 29"/>
            <wp:cNvGraphicFramePr>
              <a:graphicFrameLocks noChangeAspect="1"/>
            </wp:cNvGraphicFramePr>
            <a:graphic>
              <a:graphicData uri="http://schemas.openxmlformats.org/drawingml/2006/picture">
                <pic:pic>
                  <pic:nvPicPr>
                    <pic:cNvPr id="0" name="ev_07_nifi_flow.png"/>
                    <pic:cNvPicPr/>
                  </pic:nvPicPr>
                  <pic:blipFill>
                    <a:blip r:embed="rId37"/>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jc w:val="center"/>
      </w:pPr>
      <w:r>
        <w:drawing>
          <wp:inline xmlns:a="http://schemas.openxmlformats.org/drawingml/2006/main" xmlns:pic="http://schemas.openxmlformats.org/drawingml/2006/picture">
            <wp:extent cx="5577840" cy="2654170"/>
            <wp:docPr id="30" name="Picture 30"/>
            <wp:cNvGraphicFramePr>
              <a:graphicFrameLocks noChangeAspect="1"/>
            </wp:cNvGraphicFramePr>
            <a:graphic>
              <a:graphicData uri="http://schemas.openxmlformats.org/drawingml/2006/picture">
                <pic:pic>
                  <pic:nvPicPr>
                    <pic:cNvPr id="0" name="12_NiFi_salesforce_to_fabric_clean.png"/>
                    <pic:cNvPicPr/>
                  </pic:nvPicPr>
                  <pic:blipFill>
                    <a:blip r:embed="rId38"/>
                    <a:stretch>
                      <a:fillRect/>
                    </a:stretch>
                  </pic:blipFill>
                  <pic:spPr>
                    <a:xfrm>
                      <a:off x="0" y="0"/>
                      <a:ext cx="5577840" cy="2654170"/>
                    </a:xfrm>
                    <a:prstGeom prst="rect"/>
                  </pic:spPr>
                </pic:pic>
              </a:graphicData>
            </a:graphic>
          </wp:inline>
        </w:drawing>
      </w:r>
    </w:p>
    <w:p>
      <w:pPr>
        <w:jc w:val="center"/>
      </w:pPr>
      <w:r>
        <w:rPr>
          <w:i/>
          <w:color w:val="60646B"/>
          <w:sz w:val="17"/>
        </w:rPr>
        <w:t>Figure 11a - Clean NiFi capture of the Salesforce-to-Fabric process group; browser tabs and the Windows taskbar are removed.</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31" name="Picture 31"/>
            <wp:cNvGraphicFramePr>
              <a:graphicFrameLocks noChangeAspect="1"/>
            </wp:cNvGraphicFramePr>
            <a:graphic>
              <a:graphicData uri="http://schemas.openxmlformats.org/drawingml/2006/picture">
                <pic:pic>
                  <pic:nvPicPr>
                    <pic:cNvPr id="0" name="ev_08_fabric.png"/>
                    <pic:cNvPicPr/>
                  </pic:nvPicPr>
                  <pic:blipFill>
                    <a:blip r:embed="rId39"/>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517775"/>
            <wp:docPr id="32" name="Picture 32"/>
            <wp:cNvGraphicFramePr>
              <a:graphicFrameLocks noChangeAspect="1"/>
            </wp:cNvGraphicFramePr>
            <a:graphic>
              <a:graphicData uri="http://schemas.openxmlformats.org/drawingml/2006/picture">
                <pic:pic>
                  <pic:nvPicPr>
                    <pic:cNvPr id="0" name="ga4_to_fabric.png"/>
                    <pic:cNvPicPr/>
                  </pic:nvPicPr>
                  <pic:blipFill>
                    <a:blip r:embed="rId40"/>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Website SEO audit findings</w:t>
      </w:r>
    </w:p>
    <w:p>
      <w:r>
        <w:t>A read-only crawl of every URL in the public XML sitemap was completed on 10 September 2026. It covered 561 sitemap URLs, 435 live HTTP 200 pages, titles, meta descriptions, canonical links, headings, social tags, JSON-LD, image alt text and mobile viewport markup. The full page-level results are in docs/SEO_AUDIT_2026-09-10.md with one machine-readable record per URL.</w:t>
      </w:r>
    </w:p>
    <w:p>
      <w:r>
        <w:t>The highest-priority findings are 126 sitemap URLs returning a non-200 response, 5 pages without a title, 169 pages without a meta description, 435 live pages without a canonical link, 425 pages with more than one H1, 435 pages missing core Open Graph and Twitter card tags, 435 pages without JSON-LD structured data and 310 images with missing or empty alt text.</w:t>
      </w:r>
    </w:p>
    <w:p>
      <w:r>
        <w:t>Recommended sequence: repair sitemap and redirect hygiene; define one metadata contract for programme, catalogue, blog and corporate templates; add self-canonicals, social tags, BreadcrumbList and appropriate course schema; enforce one H1; improve programme and application internal links; then rerun the crawl and reconcile coverage before release.</w:t>
      </w:r>
    </w:p>
    <w:p>
      <w:pPr>
        <w:pStyle w:val="Heading2"/>
        <w:spacing w:before="240"/>
      </w:pPr>
      <w:r>
        <w:rPr>
          <w:rFonts w:ascii="Calibri" w:hAnsi="Calibri"/>
          <w:b/>
          <w:color w:val="1D1D1B"/>
          <w:sz w:val="32"/>
        </w:rPr>
        <w:t>7.5  Screens from the org</w:t>
      </w:r>
    </w:p>
    <w:p>
      <w:pPr>
        <w:jc w:val="center"/>
      </w:pPr>
      <w:r>
        <w:drawing>
          <wp:inline xmlns:a="http://schemas.openxmlformats.org/drawingml/2006/main" xmlns:pic="http://schemas.openxmlformats.org/drawingml/2006/picture">
            <wp:extent cx="5394960" cy="3260690"/>
            <wp:docPr id="33" name="Picture 33"/>
            <wp:cNvGraphicFramePr>
              <a:graphicFrameLocks noChangeAspect="1"/>
            </wp:cNvGraphicFramePr>
            <a:graphic>
              <a:graphicData uri="http://schemas.openxmlformats.org/drawingml/2006/picture">
                <pic:pic>
                  <pic:nvPicPr>
                    <pic:cNvPr id="0" name="06_PowerBI_predictive_actions.png"/>
                    <pic:cNvPicPr/>
                  </pic:nvPicPr>
                  <pic:blipFill>
                    <a:blip r:embed="rId41"/>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jc w:val="center"/>
      </w:pPr>
      <w:r>
        <w:drawing>
          <wp:inline xmlns:a="http://schemas.openxmlformats.org/drawingml/2006/main" xmlns:pic="http://schemas.openxmlformats.org/drawingml/2006/picture">
            <wp:extent cx="5394960" cy="2875206"/>
            <wp:docPr id="34" name="Picture 34"/>
            <wp:cNvGraphicFramePr>
              <a:graphicFrameLocks noChangeAspect="1"/>
            </wp:cNvGraphicFramePr>
            <a:graphic>
              <a:graphicData uri="http://schemas.openxmlformats.org/drawingml/2006/picture">
                <pic:pic>
                  <pic:nvPicPr>
                    <pic:cNvPr id="0" name="07_Salesforce_contacts_live.png"/>
                    <pic:cNvPicPr/>
                  </pic:nvPicPr>
                  <pic:blipFill>
                    <a:blip r:embed="rId42"/>
                    <a:stretch>
                      <a:fillRect/>
                    </a:stretch>
                  </pic:blipFill>
                  <pic:spPr>
                    <a:xfrm>
                      <a:off x="0" y="0"/>
                      <a:ext cx="5394960" cy="2875206"/>
                    </a:xfrm>
                    <a:prstGeom prst="rect"/>
                  </pic:spPr>
                </pic:pic>
              </a:graphicData>
            </a:graphic>
          </wp:inline>
        </w:drawing>
      </w:r>
    </w:p>
    <w:p>
      <w:pPr>
        <w:jc w:val="center"/>
      </w:pPr>
      <w:r>
        <w:rPr>
          <w:i/>
          <w:color w:val="60646B"/>
          <w:sz w:val="17"/>
        </w:rPr>
        <w:t>Salesforce contacts live</w:t>
      </w:r>
    </w:p>
    <w:p>
      <w:pPr>
        <w:jc w:val="center"/>
      </w:pPr>
      <w:r>
        <w:drawing>
          <wp:inline xmlns:a="http://schemas.openxmlformats.org/drawingml/2006/main" xmlns:pic="http://schemas.openxmlformats.org/drawingml/2006/picture">
            <wp:extent cx="5394960" cy="3034665"/>
            <wp:docPr id="35" name="Picture 35"/>
            <wp:cNvGraphicFramePr>
              <a:graphicFrameLocks noChangeAspect="1"/>
            </wp:cNvGraphicFramePr>
            <a:graphic>
              <a:graphicData uri="http://schemas.openxmlformats.org/drawingml/2006/picture">
                <pic:pic>
                  <pic:nvPicPr>
                    <pic:cNvPr id="0" name="08_Salesforce_accounts_verified.png"/>
                    <pic:cNvPicPr/>
                  </pic:nvPicPr>
                  <pic:blipFill>
                    <a:blip r:embed="rId26"/>
                    <a:stretch>
                      <a:fillRect/>
                    </a:stretch>
                  </pic:blipFill>
                  <pic:spPr>
                    <a:xfrm>
                      <a:off x="0" y="0"/>
                      <a:ext cx="5394960" cy="3034665"/>
                    </a:xfrm>
                    <a:prstGeom prst="rect"/>
                  </pic:spPr>
                </pic:pic>
              </a:graphicData>
            </a:graphic>
          </wp:inline>
        </w:drawing>
      </w:r>
    </w:p>
    <w:p>
      <w:pPr>
        <w:jc w:val="center"/>
      </w:pPr>
      <w:r>
        <w:rPr>
          <w:i/>
          <w:color w:val="60646B"/>
          <w:sz w:val="17"/>
        </w:rPr>
        <w:t>Salesforce accounts verified</w:t>
      </w:r>
    </w:p>
    <w:p>
      <w:pPr>
        <w:jc w:val="center"/>
      </w:pPr>
      <w:r>
        <w:drawing>
          <wp:inline xmlns:a="http://schemas.openxmlformats.org/drawingml/2006/main" xmlns:pic="http://schemas.openxmlformats.org/drawingml/2006/picture">
            <wp:extent cx="5394960" cy="3034665"/>
            <wp:docPr id="36" name="Picture 36"/>
            <wp:cNvGraphicFramePr>
              <a:graphicFrameLocks noChangeAspect="1"/>
            </wp:cNvGraphicFramePr>
            <a:graphic>
              <a:graphicData uri="http://schemas.openxmlformats.org/drawingml/2006/picture">
                <pic:pic>
                  <pic:nvPicPr>
                    <pic:cNvPr id="0" name="09_Salesforce_contacts_verified.png"/>
                    <pic:cNvPicPr/>
                  </pic:nvPicPr>
                  <pic:blipFill>
                    <a:blip r:embed="rId27"/>
                    <a:stretch>
                      <a:fillRect/>
                    </a:stretch>
                  </pic:blipFill>
                  <pic:spPr>
                    <a:xfrm>
                      <a:off x="0" y="0"/>
                      <a:ext cx="5394960" cy="3034665"/>
                    </a:xfrm>
                    <a:prstGeom prst="rect"/>
                  </pic:spPr>
                </pic:pic>
              </a:graphicData>
            </a:graphic>
          </wp:inline>
        </w:drawing>
      </w:r>
    </w:p>
    <w:p>
      <w:pPr>
        <w:jc w:val="center"/>
      </w:pPr>
      <w:r>
        <w:rPr>
          <w:i/>
          <w:color w:val="60646B"/>
          <w:sz w:val="17"/>
        </w:rPr>
        <w:t>Salesforce contacts verified</w:t>
      </w:r>
    </w:p>
    <w:p>
      <w:pPr>
        <w:jc w:val="center"/>
      </w:pPr>
      <w:r>
        <w:drawing>
          <wp:inline xmlns:a="http://schemas.openxmlformats.org/drawingml/2006/main" xmlns:pic="http://schemas.openxmlformats.org/drawingml/2006/picture">
            <wp:extent cx="5394960" cy="3034665"/>
            <wp:docPr id="37" name="Picture 37"/>
            <wp:cNvGraphicFramePr>
              <a:graphicFrameLocks noChangeAspect="1"/>
            </wp:cNvGraphicFramePr>
            <a:graphic>
              <a:graphicData uri="http://schemas.openxmlformats.org/drawingml/2006/picture">
                <pic:pic>
                  <pic:nvPicPr>
                    <pic:cNvPr id="0" name="10_Salesforce_leads_verified.png"/>
                    <pic:cNvPicPr/>
                  </pic:nvPicPr>
                  <pic:blipFill>
                    <a:blip r:embed="rId28"/>
                    <a:stretch>
                      <a:fillRect/>
                    </a:stretch>
                  </pic:blipFill>
                  <pic:spPr>
                    <a:xfrm>
                      <a:off x="0" y="0"/>
                      <a:ext cx="5394960" cy="3034665"/>
                    </a:xfrm>
                    <a:prstGeom prst="rect"/>
                  </pic:spPr>
                </pic:pic>
              </a:graphicData>
            </a:graphic>
          </wp:inline>
        </w:drawing>
      </w:r>
    </w:p>
    <w:p>
      <w:pPr>
        <w:jc w:val="center"/>
      </w:pPr>
      <w:r>
        <w:rPr>
          <w:i/>
          <w:color w:val="60646B"/>
          <w:sz w:val="17"/>
        </w:rPr>
        <w:t>Salesforce leads verified</w:t>
      </w:r>
    </w:p>
    <w:p>
      <w:pPr>
        <w:jc w:val="center"/>
      </w:pPr>
      <w:r>
        <w:drawing>
          <wp:inline xmlns:a="http://schemas.openxmlformats.org/drawingml/2006/main" xmlns:pic="http://schemas.openxmlformats.org/drawingml/2006/picture">
            <wp:extent cx="5394960" cy="3034665"/>
            <wp:docPr id="38" name="Picture 38"/>
            <wp:cNvGraphicFramePr>
              <a:graphicFrameLocks noChangeAspect="1"/>
            </wp:cNvGraphicFramePr>
            <a:graphic>
              <a:graphicData uri="http://schemas.openxmlformats.org/drawingml/2006/picture">
                <pic:pic>
                  <pic:nvPicPr>
                    <pic:cNvPr id="0" name="11_Salesforce_opportunities_verified.png"/>
                    <pic:cNvPicPr/>
                  </pic:nvPicPr>
                  <pic:blipFill>
                    <a:blip r:embed="rId29"/>
                    <a:stretch>
                      <a:fillRect/>
                    </a:stretch>
                  </pic:blipFill>
                  <pic:spPr>
                    <a:xfrm>
                      <a:off x="0" y="0"/>
                      <a:ext cx="5394960" cy="3034665"/>
                    </a:xfrm>
                    <a:prstGeom prst="rect"/>
                  </pic:spPr>
                </pic:pic>
              </a:graphicData>
            </a:graphic>
          </wp:inline>
        </w:drawing>
      </w:r>
    </w:p>
    <w:p>
      <w:pPr>
        <w:jc w:val="center"/>
      </w:pPr>
      <w:r>
        <w:rPr>
          <w:i/>
          <w:color w:val="60646B"/>
          <w:sz w:val="17"/>
        </w:rPr>
        <w:t>Salesforce opportunities verified</w:t>
      </w:r>
    </w:p>
    <w:p>
      <w:pPr>
        <w:jc w:val="center"/>
      </w:pPr>
      <w:r>
        <w:drawing>
          <wp:inline xmlns:a="http://schemas.openxmlformats.org/drawingml/2006/main" xmlns:pic="http://schemas.openxmlformats.org/drawingml/2006/picture">
            <wp:extent cx="5394960" cy="2567148"/>
            <wp:docPr id="39" name="Picture 39"/>
            <wp:cNvGraphicFramePr>
              <a:graphicFrameLocks noChangeAspect="1"/>
            </wp:cNvGraphicFramePr>
            <a:graphic>
              <a:graphicData uri="http://schemas.openxmlformats.org/drawingml/2006/picture">
                <pic:pic>
                  <pic:nvPicPr>
                    <pic:cNvPr id="0" name="12_NiFi_salesforce_to_fabric_clean.png"/>
                    <pic:cNvPicPr/>
                  </pic:nvPicPr>
                  <pic:blipFill>
                    <a:blip r:embed="rId38"/>
                    <a:stretch>
                      <a:fillRect/>
                    </a:stretch>
                  </pic:blipFill>
                  <pic:spPr>
                    <a:xfrm>
                      <a:off x="0" y="0"/>
                      <a:ext cx="5394960" cy="2567148"/>
                    </a:xfrm>
                    <a:prstGeom prst="rect"/>
                  </pic:spPr>
                </pic:pic>
              </a:graphicData>
            </a:graphic>
          </wp:inline>
        </w:drawing>
      </w:r>
    </w:p>
    <w:p>
      <w:pPr>
        <w:jc w:val="center"/>
      </w:pPr>
      <w:r>
        <w:rPr>
          <w:i/>
          <w:color w:val="60646B"/>
          <w:sz w:val="17"/>
        </w:rPr>
        <w:t>NiFi salesforce to fabric clean</w:t>
      </w:r>
    </w:p>
    <w:p>
      <w:pPr>
        <w:pStyle w:val="Heading2"/>
        <w:spacing w:before="320"/>
      </w:pPr>
      <w:r>
        <w:rPr>
          <w:rFonts w:ascii="Calibri" w:hAnsi="Calibri"/>
          <w:b/>
          <w:color w:val="1D1D1B"/>
          <w:sz w:val="34"/>
        </w:rPr>
        <w:t>7.6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fif"/><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