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1.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p>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red-yellow-logo.png"/>
                    <pic:cNvPicPr/>
                  </pic:nvPicPr>
                  <pic:blipFill>
                    <a:blip r:embed="rId9"/>
                    <a:stretch>
                      <a:fillRect/>
                    </a:stretch>
                  </pic:blipFill>
                  <pic:spPr>
                    <a:xfrm>
                      <a:off x="0" y="0"/>
                      <a:ext cx="1234440" cy="1234440"/>
                    </a:xfrm>
                    <a:prstGeom prst="rect"/>
                  </pic:spPr>
                </pic:pic>
              </a:graphicData>
            </a:graphic>
          </wp:inline>
        </w:drawing>
      </w:r>
    </w:p>
    <w:p>
      <w:pPr>
        <w:spacing w:before="360"/>
      </w:pPr>
      <w:r>
        <w:rPr>
          <w:b/>
          <w:color w:val="F52635"/>
          <w:sz w:val="80"/>
        </w:rPr>
        <w:t>Red &amp; Yellow</w:t>
      </w:r>
    </w:p>
    <w:p>
      <w:r>
        <w:rPr>
          <w:color w:val="1D1D1B"/>
          <w:sz w:val="34"/>
        </w:rPr>
        <w:t>From marketing spend to student outcomes</w:t>
      </w:r>
    </w:p>
    <w:p>
      <w:r>
        <w:rPr>
          <w:color w:val="60646B"/>
          <w:sz w:val="23"/>
        </w:rPr>
        <w:t>A CRM analytics platform built on Salesforce, Apache NiFi, dbt, Microsoft Fabric and Power BI</w:t>
      </w:r>
    </w:p>
    <w:p>
      <w:r>
        <w:rPr>
          <w:color w:val="60646B"/>
          <w:sz w:val="20"/>
        </w:rPr>
        <w:br/>
        <w:t>10 September 2026   |   Anthony Apollis</w:t>
      </w:r>
    </w:p>
    <w:p>
      <w:r>
        <w:rPr>
          <w:i/>
          <w:color w:val="60646B"/>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F52635"/>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F52635"/>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1D1D1B"/>
          <w:sz w:val="32"/>
        </w:rPr>
        <w:t>1.1  How to read it</w:t>
      </w:r>
    </w:p>
    <w:p>
      <w:pPr>
        <w:pStyle w:val="ListBullet"/>
      </w:pPr>
      <w:r>
        <w:rPr>
          <w:b/>
          <w:color w:val="F52635"/>
        </w:rPr>
        <w:t xml:space="preserve">The numbers first. </w:t>
      </w:r>
      <w:r>
        <w:t>Chapter 2 sets out what was built and how much of it there is.</w:t>
      </w:r>
    </w:p>
    <w:p>
      <w:pPr>
        <w:pStyle w:val="ListBullet"/>
      </w:pPr>
      <w:r>
        <w:rPr>
          <w:b/>
          <w:color w:val="F52635"/>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F52635"/>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F52635"/>
        </w:rPr>
        <w:t xml:space="preserve">Finally the limits. </w:t>
      </w:r>
      <w:r>
        <w:t>The last chapter is what this work does not claim.</w:t>
      </w:r>
    </w:p>
    <w:p/>
    <w:p>
      <w:r>
        <w:rPr>
          <w:i/>
          <w:color w:val="60646B"/>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F52635"/>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11.5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2221682"/>
            <wp:docPr id="2" name="Picture 2"/>
            <wp:cNvGraphicFramePr>
              <a:graphicFrameLocks noChangeAspect="1"/>
            </wp:cNvGraphicFramePr>
            <a:graphic>
              <a:graphicData uri="http://schemas.openxmlformats.org/drawingml/2006/picture">
                <pic:pic>
                  <pic:nvPicPr>
                    <pic:cNvPr id="0" name="creative-magic-commercial-logic.png"/>
                    <pic:cNvPicPr/>
                  </pic:nvPicPr>
                  <pic:blipFill>
                    <a:blip r:embed="rId10"/>
                    <a:stretch>
                      <a:fillRect/>
                    </a:stretch>
                  </pic:blipFill>
                  <pic:spPr>
                    <a:xfrm>
                      <a:off x="0" y="0"/>
                      <a:ext cx="5577840" cy="2221682"/>
                    </a:xfrm>
                    <a:prstGeom prst="rect"/>
                  </pic:spPr>
                </pic:pic>
              </a:graphicData>
            </a:graphic>
          </wp:inline>
        </w:drawing>
      </w:r>
    </w:p>
    <w:p>
      <w:pPr>
        <w:jc w:val="center"/>
      </w:pPr>
      <w:r>
        <w:rPr>
          <w:i/>
          <w:color w:val="60646B"/>
          <w:sz w:val="17"/>
        </w:rPr>
        <w:t>Red &amp; Yellow's Creative Magic and Commercial Logic — the brand idea that frames this data story.</w:t>
      </w:r>
    </w:p>
    <w:p>
      <w:pPr>
        <w:jc w:val="center"/>
      </w:pPr>
      <w:r>
        <w:drawing>
          <wp:inline xmlns:a="http://schemas.openxmlformats.org/drawingml/2006/main" xmlns:pic="http://schemas.openxmlformats.org/drawingml/2006/picture">
            <wp:extent cx="5577840" cy="1780162"/>
            <wp:docPr id="3" name="Picture 3"/>
            <wp:cNvGraphicFramePr>
              <a:graphicFrameLocks noChangeAspect="1"/>
            </wp:cNvGraphicFramePr>
            <a:graphic>
              <a:graphicData uri="http://schemas.openxmlformats.org/drawingml/2006/picture">
                <pic:pic>
                  <pic:nvPicPr>
                    <pic:cNvPr id="0" name="ev_00_architecture.png"/>
                    <pic:cNvPicPr/>
                  </pic:nvPicPr>
                  <pic:blipFill>
                    <a:blip r:embed="rId11"/>
                    <a:stretch>
                      <a:fillRect/>
                    </a:stretch>
                  </pic:blipFill>
                  <pic:spPr>
                    <a:xfrm>
                      <a:off x="0" y="0"/>
                      <a:ext cx="5577840" cy="1780162"/>
                    </a:xfrm>
                    <a:prstGeom prst="rect"/>
                  </pic:spPr>
                </pic:pic>
              </a:graphicData>
            </a:graphic>
          </wp:inline>
        </w:drawing>
      </w:r>
    </w:p>
    <w:p>
      <w:pPr>
        <w:jc w:val="center"/>
      </w:pPr>
      <w:r>
        <w:rPr>
          <w:i/>
          <w:color w:val="60646B"/>
          <w:sz w:val="17"/>
        </w:rPr>
        <w:t>Figure 0 - The pipeline end to end. Each stage is a separate, runnable component; nothing here is a diagram of an intention.</w:t>
      </w:r>
    </w:p>
    <w:p>
      <w:pPr>
        <w:pStyle w:val="Heading2"/>
        <w:spacing w:before="320"/>
      </w:pPr>
      <w:r>
        <w:rPr>
          <w:rFonts w:ascii="Calibri" w:hAnsi="Calibri"/>
          <w:b/>
          <w:color w:val="1D1D1B"/>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304,168</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R2,867.2m</w:t>
            </w:r>
          </w:p>
        </w:tc>
      </w:tr>
      <w:tr>
        <w:tc>
          <w:tcPr>
            <w:tcW w:type="dxa" w:w="4320"/>
          </w:tcPr>
          <w:p>
            <w:r>
              <w:t>Data quality issues detected</w:t>
            </w:r>
          </w:p>
        </w:tc>
        <w:tc>
          <w:tcPr>
            <w:tcW w:type="dxa" w:w="4320"/>
          </w:tcPr>
          <w:p>
            <w:r>
              <w:t>331,391</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funnel.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60646B"/>
          <w:sz w:val="17"/>
        </w:rPr>
        <w:t>Figure 1 - The funnel by stage. Leads and contacts overlap, so the step between them is not attrition.</w:t>
      </w:r>
    </w:p>
    <w:p>
      <w:pPr>
        <w:pStyle w:val="Heading2"/>
        <w:spacing w:before="320"/>
      </w:pPr>
      <w:r>
        <w:rPr>
          <w:rFonts w:ascii="Calibri" w:hAnsi="Calibri"/>
          <w:b/>
          <w:color w:val="1D1D1B"/>
          <w:sz w:val="34"/>
        </w:rPr>
        <w:t>2.2  Where the marketing money goes</w:t>
      </w:r>
    </w:p>
    <w:p>
      <w:r>
        <w:t>Cost per enrolment sits between R1,891 and R2,899 across channels, on a return of 3.2x to 5.0x. Career expo returns the most per rand at 5.00x; Print the least at 3.23x.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5" name="Picture 5"/>
            <wp:cNvGraphicFramePr>
              <a:graphicFrameLocks noChangeAspect="1"/>
            </wp:cNvGraphicFramePr>
            <a:graphic>
              <a:graphicData uri="http://schemas.openxmlformats.org/drawingml/2006/picture">
                <pic:pic>
                  <pic:nvPicPr>
                    <pic:cNvPr id="0" name="cpe.png"/>
                    <pic:cNvPicPr/>
                  </pic:nvPicPr>
                  <pic:blipFill>
                    <a:blip r:embed="rId13"/>
                    <a:stretch>
                      <a:fillRect/>
                    </a:stretch>
                  </pic:blipFill>
                  <pic:spPr>
                    <a:xfrm>
                      <a:off x="0" y="0"/>
                      <a:ext cx="5577840" cy="2614612"/>
                    </a:xfrm>
                    <a:prstGeom prst="rect"/>
                  </pic:spPr>
                </pic:pic>
              </a:graphicData>
            </a:graphic>
          </wp:inline>
        </w:drawing>
      </w:r>
    </w:p>
    <w:p>
      <w:pPr>
        <w:jc w:val="center"/>
      </w:pPr>
      <w:r>
        <w:rPr>
          <w:i/>
          <w:color w:val="60646B"/>
          <w:sz w:val="17"/>
        </w:rPr>
        <w:t>Figure 2 - Cost per enrolment by channel.</w:t>
      </w:r>
    </w:p>
    <w:p>
      <w:pPr>
        <w:pStyle w:val="Heading2"/>
        <w:spacing w:before="240"/>
      </w:pPr>
      <w:r>
        <w:rPr>
          <w:rFonts w:ascii="Calibri" w:hAnsi="Calibri"/>
          <w:b/>
          <w:color w:val="1D1D1B"/>
          <w:sz w:val="32"/>
        </w:rPr>
        <w:t>2.3  Marketing analytics, from audience to value</w:t>
      </w:r>
    </w:p>
    <w:p>
      <w:r>
        <w:t>The marketing page separates reach, response, enrolment and value. Response rate tells the team whether a channel is reaching an interested audience; cost per enrolment tells it what that audience costs to convert; return on ad spend tests whether the resulting fees justify the investment. Revenue per member and spend per response make the same comparison usable before a campaign has accumulated enough enrolments for a stable cost-per-enrolment figure.</w:t>
      </w:r>
    </w:p>
    <w:p>
      <w:pPr>
        <w:jc w:val="center"/>
      </w:pPr>
      <w:r>
        <w:drawing>
          <wp:inline xmlns:a="http://schemas.openxmlformats.org/drawingml/2006/main" xmlns:pic="http://schemas.openxmlformats.org/drawingml/2006/picture">
            <wp:extent cx="5577840" cy="2440305"/>
            <wp:docPr id="6" name="Picture 6"/>
            <wp:cNvGraphicFramePr>
              <a:graphicFrameLocks noChangeAspect="1"/>
            </wp:cNvGraphicFramePr>
            <a:graphic>
              <a:graphicData uri="http://schemas.openxmlformats.org/drawingml/2006/picture">
                <pic:pic>
                  <pic:nvPicPr>
                    <pic:cNvPr id="0" name="marketing_efficiency.png"/>
                    <pic:cNvPicPr/>
                  </pic:nvPicPr>
                  <pic:blipFill>
                    <a:blip r:embed="rId14"/>
                    <a:stretch>
                      <a:fillRect/>
                    </a:stretch>
                  </pic:blipFill>
                  <pic:spPr>
                    <a:xfrm>
                      <a:off x="0" y="0"/>
                      <a:ext cx="5577840" cy="2440305"/>
                    </a:xfrm>
                    <a:prstGeom prst="rect"/>
                  </pic:spPr>
                </pic:pic>
              </a:graphicData>
            </a:graphic>
          </wp:inline>
        </w:drawing>
      </w:r>
    </w:p>
    <w:p>
      <w:pPr>
        <w:jc w:val="center"/>
      </w:pPr>
      <w:r>
        <w:rPr>
          <w:i/>
          <w:color w:val="60646B"/>
          <w:sz w:val="17"/>
        </w:rPr>
        <w:t>Figure 2a - Campaign response rate and return on ad spend by channel. Both are calculated at campaign grain before they are aggregated.</w:t>
      </w:r>
    </w:p>
    <w:p>
      <w:pPr>
        <w:pStyle w:val="Heading2"/>
        <w:spacing w:before="320"/>
      </w:pPr>
      <w:r>
        <w:rPr>
          <w:rFonts w:ascii="Calibri" w:hAnsi="Calibri"/>
          <w:b/>
          <w:color w:val="1D1D1B"/>
          <w:sz w:val="34"/>
        </w:rPr>
        <w:t>2.4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7" name="Picture 7"/>
            <wp:cNvGraphicFramePr>
              <a:graphicFrameLocks noChangeAspect="1"/>
            </wp:cNvGraphicFramePr>
            <a:graphic>
              <a:graphicData uri="http://schemas.openxmlformats.org/drawingml/2006/picture">
                <pic:pic>
                  <pic:nvPicPr>
                    <pic:cNvPr id="0" name="risk.png"/>
                    <pic:cNvPicPr/>
                  </pic:nvPicPr>
                  <pic:blipFill>
                    <a:blip r:embed="rId15"/>
                    <a:stretch>
                      <a:fillRect/>
                    </a:stretch>
                  </pic:blipFill>
                  <pic:spPr>
                    <a:xfrm>
                      <a:off x="0" y="0"/>
                      <a:ext cx="5577840" cy="2614612"/>
                    </a:xfrm>
                    <a:prstGeom prst="rect"/>
                  </pic:spPr>
                </pic:pic>
              </a:graphicData>
            </a:graphic>
          </wp:inline>
        </w:drawing>
      </w:r>
    </w:p>
    <w:p>
      <w:pPr>
        <w:jc w:val="center"/>
      </w:pPr>
      <w:r>
        <w:rPr>
          <w:i/>
          <w:color w:val="60646B"/>
          <w:sz w:val="17"/>
        </w:rPr>
        <w:t>Figure 3 - Academic health across the study weeks.</w:t>
      </w:r>
    </w:p>
    <w:p>
      <w:pPr>
        <w:pStyle w:val="Heading2"/>
        <w:spacing w:before="320"/>
      </w:pPr>
      <w:r>
        <w:rPr>
          <w:rFonts w:ascii="Calibri" w:hAnsi="Calibri"/>
          <w:b/>
          <w:color w:val="1D1D1B"/>
          <w:sz w:val="34"/>
        </w:rPr>
        <w:t>2.5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2,941,487 injected defects the pipeline detects 331,391 issues. De-duplication recovers 0.97 of the duplicates that were planted.</w:t>
      </w:r>
    </w:p>
    <w:p>
      <w:pPr>
        <w:pStyle w:val="Heading3"/>
        <w:spacing w:before="240"/>
      </w:pPr>
      <w:r>
        <w:rPr>
          <w:rFonts w:ascii="Calibri" w:hAnsi="Calibri"/>
          <w:b/>
          <w:color w:val="1D1D1B"/>
          <w:sz w:val="26"/>
        </w:rPr>
        <w:t>2.5.1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8" name="Picture 8"/>
            <wp:cNvGraphicFramePr>
              <a:graphicFrameLocks noChangeAspect="1"/>
            </wp:cNvGraphicFramePr>
            <a:graphic>
              <a:graphicData uri="http://schemas.openxmlformats.org/drawingml/2006/picture">
                <pic:pic>
                  <pic:nvPicPr>
                    <pic:cNvPr id="0" name="dq.png"/>
                    <pic:cNvPicPr/>
                  </pic:nvPicPr>
                  <pic:blipFill>
                    <a:blip r:embed="rId16"/>
                    <a:stretch>
                      <a:fillRect/>
                    </a:stretch>
                  </pic:blipFill>
                  <pic:spPr>
                    <a:xfrm>
                      <a:off x="0" y="0"/>
                      <a:ext cx="5577840" cy="2963228"/>
                    </a:xfrm>
                    <a:prstGeom prst="rect"/>
                  </pic:spPr>
                </pic:pic>
              </a:graphicData>
            </a:graphic>
          </wp:inline>
        </w:drawing>
      </w:r>
    </w:p>
    <w:p>
      <w:pPr>
        <w:jc w:val="center"/>
      </w:pPr>
      <w:r>
        <w:rPr>
          <w:i/>
          <w:color w:val="60646B"/>
          <w:sz w:val="17"/>
        </w:rPr>
        <w:t>Figure 4 - Detected issues by type.</w:t>
      </w:r>
    </w:p>
    <w:p>
      <w:pPr>
        <w:pStyle w:val="Heading2"/>
        <w:spacing w:before="320"/>
      </w:pPr>
      <w:r>
        <w:rPr>
          <w:rFonts w:ascii="Calibri" w:hAnsi="Calibri"/>
          <w:b/>
          <w:color w:val="1D1D1B"/>
          <w:sz w:val="34"/>
        </w:rPr>
        <w:t>2.6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prog_demand.png"/>
                    <pic:cNvPicPr/>
                  </pic:nvPicPr>
                  <pic:blipFill>
                    <a:blip r:embed="rId17"/>
                    <a:stretch>
                      <a:fillRect/>
                    </a:stretch>
                  </pic:blipFill>
                  <pic:spPr>
                    <a:xfrm>
                      <a:off x="0" y="0"/>
                      <a:ext cx="5577840" cy="3137535"/>
                    </a:xfrm>
                    <a:prstGeom prst="rect"/>
                  </pic:spPr>
                </pic:pic>
              </a:graphicData>
            </a:graphic>
          </wp:inline>
        </w:drawing>
      </w:r>
    </w:p>
    <w:p>
      <w:pPr>
        <w:jc w:val="center"/>
      </w:pPr>
      <w:r>
        <w:rPr>
          <w:i/>
          <w:color w:val="60646B"/>
          <w:sz w:val="17"/>
        </w:rPr>
        <w:t>Figure 4a - Top programmes by enrolment, with average discount.</w:t>
      </w:r>
    </w:p>
    <w:p>
      <w:pPr>
        <w:pStyle w:val="Heading3"/>
        <w:spacing w:before="240"/>
      </w:pPr>
      <w:r>
        <w:rPr>
          <w:rFonts w:ascii="Calibri" w:hAnsi="Calibri"/>
          <w:b/>
          <w:color w:val="1D1D1B"/>
          <w:sz w:val="26"/>
        </w:rPr>
        <w:t>2.6.1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10" name="Picture 10"/>
            <wp:cNvGraphicFramePr>
              <a:graphicFrameLocks noChangeAspect="1"/>
            </wp:cNvGraphicFramePr>
            <a:graphic>
              <a:graphicData uri="http://schemas.openxmlformats.org/drawingml/2006/picture">
                <pic:pic>
                  <pic:nvPicPr>
                    <pic:cNvPr id="0" name="province.png"/>
                    <pic:cNvPicPr/>
                  </pic:nvPicPr>
                  <pic:blipFill>
                    <a:blip r:embed="rId18"/>
                    <a:stretch>
                      <a:fillRect/>
                    </a:stretch>
                  </pic:blipFill>
                  <pic:spPr>
                    <a:xfrm>
                      <a:off x="0" y="0"/>
                      <a:ext cx="5577840" cy="2527459"/>
                    </a:xfrm>
                    <a:prstGeom prst="rect"/>
                  </pic:spPr>
                </pic:pic>
              </a:graphicData>
            </a:graphic>
          </wp:inline>
        </w:drawing>
      </w:r>
    </w:p>
    <w:p>
      <w:pPr>
        <w:jc w:val="center"/>
      </w:pPr>
      <w:r>
        <w:rPr>
          <w:i/>
          <w:color w:val="60646B"/>
          <w:sz w:val="17"/>
        </w:rPr>
        <w:t>Figure 4b - Enrolments by province, after the spelling variants are collapsed to the nine official names.</w:t>
      </w:r>
    </w:p>
    <w:p>
      <w:pPr>
        <w:jc w:val="center"/>
      </w:pPr>
      <w:r>
        <w:drawing>
          <wp:inline xmlns:a="http://schemas.openxmlformats.org/drawingml/2006/main" xmlns:pic="http://schemas.openxmlformats.org/drawingml/2006/picture">
            <wp:extent cx="5577840" cy="3129944"/>
            <wp:docPr id="11" name="Picture 11"/>
            <wp:cNvGraphicFramePr>
              <a:graphicFrameLocks noChangeAspect="1"/>
            </wp:cNvGraphicFramePr>
            <a:graphic>
              <a:graphicData uri="http://schemas.openxmlformats.org/drawingml/2006/picture">
                <pic:pic>
                  <pic:nvPicPr>
                    <pic:cNvPr id="0" name="student-cohort.jfif"/>
                    <pic:cNvPicPr/>
                  </pic:nvPicPr>
                  <pic:blipFill>
                    <a:blip r:embed="rId19"/>
                    <a:stretch>
                      <a:fillRect/>
                    </a:stretch>
                  </pic:blipFill>
                  <pic:spPr>
                    <a:xfrm>
                      <a:off x="0" y="0"/>
                      <a:ext cx="5577840" cy="3129944"/>
                    </a:xfrm>
                    <a:prstGeom prst="rect"/>
                  </pic:spPr>
                </pic:pic>
              </a:graphicData>
            </a:graphic>
          </wp:inline>
        </w:drawing>
      </w:r>
    </w:p>
    <w:p>
      <w:pPr>
        <w:jc w:val="center"/>
      </w:pPr>
      <w:r>
        <w:rPr>
          <w:i/>
          <w:color w:val="60646B"/>
          <w:sz w:val="17"/>
        </w:rPr>
        <w:t>Red &amp; Yellow student community — supplied brand image used as context for the learner journey.</w:t>
      </w:r>
    </w:p>
    <w:p>
      <w:pPr>
        <w:pStyle w:val="Heading3"/>
        <w:spacing w:before="240"/>
      </w:pPr>
      <w:r>
        <w:rPr>
          <w:rFonts w:ascii="Calibri" w:hAnsi="Calibri"/>
          <w:b/>
          <w:color w:val="1D1D1B"/>
          <w:sz w:val="26"/>
        </w:rPr>
        <w:t>2.6.2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12" name="Picture 12"/>
            <wp:cNvGraphicFramePr>
              <a:graphicFrameLocks noChangeAspect="1"/>
            </wp:cNvGraphicFramePr>
            <a:graphic>
              <a:graphicData uri="http://schemas.openxmlformats.org/drawingml/2006/picture">
                <pic:pic>
                  <pic:nvPicPr>
                    <pic:cNvPr id="0" name="conversion.png"/>
                    <pic:cNvPicPr/>
                  </pic:nvPicPr>
                  <pic:blipFill>
                    <a:blip r:embed="rId20"/>
                    <a:stretch>
                      <a:fillRect/>
                    </a:stretch>
                  </pic:blipFill>
                  <pic:spPr>
                    <a:xfrm>
                      <a:off x="0" y="0"/>
                      <a:ext cx="5577840" cy="2265998"/>
                    </a:xfrm>
                    <a:prstGeom prst="rect"/>
                  </pic:spPr>
                </pic:pic>
              </a:graphicData>
            </a:graphic>
          </wp:inline>
        </w:drawing>
      </w:r>
    </w:p>
    <w:p>
      <w:pPr>
        <w:jc w:val="center"/>
      </w:pPr>
      <w:r>
        <w:rPr>
          <w:i/>
          <w:color w:val="60646B"/>
          <w:sz w:val="17"/>
        </w:rPr>
        <w:t>Figure 4c - Stage-to-stage conversion through the admissions pipeline.</w:t>
      </w:r>
    </w:p>
    <w:p>
      <w:pPr>
        <w:pStyle w:val="Heading2"/>
        <w:spacing w:before="320"/>
      </w:pPr>
      <w:r>
        <w:rPr>
          <w:rFonts w:ascii="Calibri" w:hAnsi="Calibri"/>
          <w:b/>
          <w:color w:val="1D1D1B"/>
          <w:sz w:val="34"/>
        </w:rPr>
        <w:t>2.7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1D1D1B"/>
          <w:sz w:val="34"/>
        </w:rPr>
        <w:t>2.8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1D1D1B"/>
          <w:sz w:val="34"/>
        </w:rPr>
        <w:t>2.9  The pipeline, end to end</w:t>
      </w:r>
    </w:p>
    <w:p>
      <w:pPr>
        <w:pStyle w:val="ListBullet"/>
      </w:pPr>
      <w:r>
        <w:rPr>
          <w:b/>
          <w:color w:val="F52635"/>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F52635"/>
        </w:rPr>
        <w:t xml:space="preserve">Land. </w:t>
      </w:r>
      <w:r>
        <w:t>Records are batched and written to the OneLake bronze layer, partitioned by object and ingest date. Failures retry three times before parking.</w:t>
      </w:r>
    </w:p>
    <w:p>
      <w:pPr>
        <w:pStyle w:val="ListBullet"/>
      </w:pPr>
      <w:r>
        <w:rPr>
          <w:b/>
          <w:color w:val="F52635"/>
        </w:rPr>
        <w:t xml:space="preserve">Transform. </w:t>
      </w:r>
      <w:r>
        <w:t>dbt cleanses once in staging - email validation, E.164 phone normalisation, province collapsing, entity resolution - then builds marts that assume clean inputs.</w:t>
      </w:r>
    </w:p>
    <w:p>
      <w:pPr>
        <w:pStyle w:val="ListBullet"/>
      </w:pPr>
      <w:r>
        <w:rPr>
          <w:b/>
          <w:color w:val="F52635"/>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F52635"/>
        </w:rPr>
        <w:t xml:space="preserve">Document. </w:t>
      </w:r>
      <w:r>
        <w:t>dbt docs generate produces the searchable catalogue with column-level lineage, so documentation is a build artefact rather than a wiki page that drifts.</w:t>
      </w:r>
    </w:p>
    <w:p>
      <w:pPr>
        <w:pStyle w:val="ListBullet"/>
      </w:pPr>
      <w:r>
        <w:rPr>
          <w:b/>
          <w:color w:val="F52635"/>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F52635"/>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2"/>
        <w:spacing w:before="280"/>
      </w:pPr>
      <w:r>
        <w:rPr>
          <w:rFonts w:ascii="Calibri" w:hAnsi="Calibri"/>
          <w:b/>
          <w:color w:val="1D1D1B"/>
          <w:sz w:val="32"/>
        </w:rPr>
        <w:t>3.1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13" name="Picture 13"/>
            <wp:cNvGraphicFramePr>
              <a:graphicFrameLocks noChangeAspect="1"/>
            </wp:cNvGraphicFramePr>
            <a:graphic>
              <a:graphicData uri="http://schemas.openxmlformats.org/drawingml/2006/picture">
                <pic:pic>
                  <pic:nvPicPr>
                    <pic:cNvPr id="0" name="ev_01_org_check.png"/>
                    <pic:cNvPicPr/>
                  </pic:nvPicPr>
                  <pic:blipFill>
                    <a:blip r:embed="rId21"/>
                    <a:stretch>
                      <a:fillRect/>
                    </a:stretch>
                  </pic:blipFill>
                  <pic:spPr>
                    <a:xfrm>
                      <a:off x="0" y="0"/>
                      <a:ext cx="5577840" cy="3078579"/>
                    </a:xfrm>
                    <a:prstGeom prst="rect"/>
                  </pic:spPr>
                </pic:pic>
              </a:graphicData>
            </a:graphic>
          </wp:inline>
        </w:drawing>
      </w:r>
    </w:p>
    <w:p>
      <w:pPr>
        <w:jc w:val="center"/>
      </w:pPr>
      <w:r>
        <w:rPr>
          <w:i/>
          <w:color w:val="60646B"/>
          <w:sz w:val="17"/>
        </w:rPr>
        <w:t>Figure 5 - The org capability check. Base Edition, 10.6 GB free, and a NO-GO on custom objects.</w:t>
      </w:r>
    </w:p>
    <w:p>
      <w:pPr>
        <w:pStyle w:val="Heading2"/>
        <w:spacing w:before="240"/>
      </w:pPr>
      <w:r>
        <w:rPr>
          <w:rFonts w:ascii="Calibri" w:hAnsi="Calibri"/>
          <w:b/>
          <w:color w:val="1D1D1B"/>
          <w:sz w:val="32"/>
        </w:rPr>
        <w:t>3.2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4" name="Picture 14"/>
            <wp:cNvGraphicFramePr>
              <a:graphicFrameLocks noChangeAspect="1"/>
            </wp:cNvGraphicFramePr>
            <a:graphic>
              <a:graphicData uri="http://schemas.openxmlformats.org/drawingml/2006/picture">
                <pic:pic>
                  <pic:nvPicPr>
                    <pic:cNvPr id="0" name="ev_02_metadata_validate.png"/>
                    <pic:cNvPicPr/>
                  </pic:nvPicPr>
                  <pic:blipFill>
                    <a:blip r:embed="rId22"/>
                    <a:stretch>
                      <a:fillRect/>
                    </a:stretch>
                  </pic:blipFill>
                  <pic:spPr>
                    <a:xfrm>
                      <a:off x="0" y="0"/>
                      <a:ext cx="5577840" cy="2939058"/>
                    </a:xfrm>
                    <a:prstGeom prst="rect"/>
                  </pic:spPr>
                </pic:pic>
              </a:graphicData>
            </a:graphic>
          </wp:inline>
        </w:drawing>
      </w:r>
    </w:p>
    <w:p>
      <w:pPr>
        <w:jc w:val="center"/>
      </w:pPr>
      <w:r>
        <w:rPr>
          <w:i/>
          <w:color w:val="60646B"/>
          <w:sz w:val="17"/>
        </w:rPr>
        <w:t>Figure 6 - Metadata validated against the org. 18 of 18 components.</w:t>
      </w:r>
    </w:p>
    <w:p>
      <w:pPr>
        <w:pStyle w:val="Heading2"/>
        <w:spacing w:before="240"/>
      </w:pPr>
      <w:r>
        <w:rPr>
          <w:rFonts w:ascii="Calibri" w:hAnsi="Calibri"/>
          <w:b/>
          <w:color w:val="1D1D1B"/>
          <w:sz w:val="32"/>
        </w:rPr>
        <w:t>3.3  3. Load the operational CRM slice</w:t>
      </w:r>
    </w:p>
    <w:p>
      <w:r>
        <w:t>Accounts, contacts, leads and opportunities, upserted on an external ID so the load is idempotent - re-running updates rather than duplicates. Two things pushed back, and both were right to. Salesforce rejects the external ID in the request body when it is already the key in the URL. And its duplicate rules blocked leads that fuzzy-matched existing contacts at 100% confidence - the same duplicates the warehouse's own entity resolution finds, caught independently by the CRM.</w:t>
      </w:r>
    </w:p>
    <w:p>
      <w:pPr>
        <w:jc w:val="center"/>
      </w:pPr>
      <w:r>
        <w:drawing>
          <wp:inline xmlns:a="http://schemas.openxmlformats.org/drawingml/2006/main" xmlns:pic="http://schemas.openxmlformats.org/drawingml/2006/picture">
            <wp:extent cx="5577840" cy="2368838"/>
            <wp:docPr id="15" name="Picture 15"/>
            <wp:cNvGraphicFramePr>
              <a:graphicFrameLocks noChangeAspect="1"/>
            </wp:cNvGraphicFramePr>
            <a:graphic>
              <a:graphicData uri="http://schemas.openxmlformats.org/drawingml/2006/picture">
                <pic:pic>
                  <pic:nvPicPr>
                    <pic:cNvPr id="0" name="ev_03_import_result.png"/>
                    <pic:cNvPicPr/>
                  </pic:nvPicPr>
                  <pic:blipFill>
                    <a:blip r:embed="rId23"/>
                    <a:stretch>
                      <a:fillRect/>
                    </a:stretch>
                  </pic:blipFill>
                  <pic:spPr>
                    <a:xfrm>
                      <a:off x="0" y="0"/>
                      <a:ext cx="5577840" cy="2368838"/>
                    </a:xfrm>
                    <a:prstGeom prst="rect"/>
                  </pic:spPr>
                </pic:pic>
              </a:graphicData>
            </a:graphic>
          </wp:inline>
        </w:drawing>
      </w:r>
    </w:p>
    <w:p>
      <w:pPr>
        <w:jc w:val="center"/>
      </w:pPr>
      <w:r>
        <w:rPr>
          <w:i/>
          <w:color w:val="60646B"/>
          <w:sz w:val="17"/>
        </w:rPr>
        <w:t>Figure 7 - What the loader wrote.</w:t>
      </w:r>
    </w:p>
    <w:p>
      <w:pPr>
        <w:jc w:val="center"/>
      </w:pPr>
      <w:r>
        <w:drawing>
          <wp:inline xmlns:a="http://schemas.openxmlformats.org/drawingml/2006/main" xmlns:pic="http://schemas.openxmlformats.org/drawingml/2006/picture">
            <wp:extent cx="5577840" cy="2939058"/>
            <wp:docPr id="16" name="Picture 16"/>
            <wp:cNvGraphicFramePr>
              <a:graphicFrameLocks noChangeAspect="1"/>
            </wp:cNvGraphicFramePr>
            <a:graphic>
              <a:graphicData uri="http://schemas.openxmlformats.org/drawingml/2006/picture">
                <pic:pic>
                  <pic:nvPicPr>
                    <pic:cNvPr id="0" name="ev_04_org_counts.png"/>
                    <pic:cNvPicPr/>
                  </pic:nvPicPr>
                  <pic:blipFill>
                    <a:blip r:embed="rId24"/>
                    <a:stretch>
                      <a:fillRect/>
                    </a:stretch>
                  </pic:blipFill>
                  <pic:spPr>
                    <a:xfrm>
                      <a:off x="0" y="0"/>
                      <a:ext cx="5577840" cy="2939058"/>
                    </a:xfrm>
                    <a:prstGeom prst="rect"/>
                  </pic:spPr>
                </pic:pic>
              </a:graphicData>
            </a:graphic>
          </wp:inline>
        </w:drawing>
      </w:r>
    </w:p>
    <w:p>
      <w:pPr>
        <w:jc w:val="center"/>
      </w:pPr>
      <w:r>
        <w:rPr>
          <w:i/>
          <w:color w:val="60646B"/>
          <w:sz w:val="17"/>
        </w:rPr>
        <w:t>Figure 8 - What is actually in the org, queried back through the API. The loader's claim and the org's state are different assertions; only the second is evidence.</w:t>
      </w:r>
    </w:p>
    <w:p>
      <w:pPr>
        <w:pStyle w:val="Heading2"/>
        <w:spacing w:before="240"/>
      </w:pPr>
      <w:r>
        <w:rPr>
          <w:rFonts w:ascii="Calibri" w:hAnsi="Calibri"/>
          <w:b/>
          <w:color w:val="1D1D1B"/>
          <w:sz w:val="32"/>
        </w:rPr>
        <w:t>3.4  4.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17" name="Picture 17"/>
            <wp:cNvGraphicFramePr>
              <a:graphicFrameLocks noChangeAspect="1"/>
            </wp:cNvGraphicFramePr>
            <a:graphic>
              <a:graphicData uri="http://schemas.openxmlformats.org/drawingml/2006/picture">
                <pic:pic>
                  <pic:nvPicPr>
                    <pic:cNvPr id="0" name="ev_05_extraction.png"/>
                    <pic:cNvPicPr/>
                  </pic:nvPicPr>
                  <pic:blipFill>
                    <a:blip r:embed="rId25"/>
                    <a:stretch>
                      <a:fillRect/>
                    </a:stretch>
                  </pic:blipFill>
                  <pic:spPr>
                    <a:xfrm>
                      <a:off x="0" y="0"/>
                      <a:ext cx="5577840" cy="2226283"/>
                    </a:xfrm>
                    <a:prstGeom prst="rect"/>
                  </pic:spPr>
                </pic:pic>
              </a:graphicData>
            </a:graphic>
          </wp:inline>
        </w:drawing>
      </w:r>
    </w:p>
    <w:p>
      <w:pPr>
        <w:jc w:val="center"/>
      </w:pPr>
      <w:r>
        <w:rPr>
          <w:i/>
          <w:color w:val="60646B"/>
          <w:sz w:val="17"/>
        </w:rPr>
        <w:t>Figure 9 - Extraction manifest. Every row carries its source system, source id, source update time and extraction time.</w:t>
      </w:r>
    </w:p>
    <w:p>
      <w:pPr>
        <w:pStyle w:val="Heading2"/>
        <w:spacing w:before="240"/>
      </w:pPr>
      <w:r>
        <w:rPr>
          <w:rFonts w:ascii="Calibri" w:hAnsi="Calibri"/>
          <w:b/>
          <w:color w:val="1D1D1B"/>
          <w:sz w:val="32"/>
        </w:rPr>
        <w:t>3.5  5.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798618"/>
            <wp:docPr id="18" name="Picture 18"/>
            <wp:cNvGraphicFramePr>
              <a:graphicFrameLocks noChangeAspect="1"/>
            </wp:cNvGraphicFramePr>
            <a:graphic>
              <a:graphicData uri="http://schemas.openxmlformats.org/drawingml/2006/picture">
                <pic:pic>
                  <pic:nvPicPr>
                    <pic:cNvPr id="0" name="ev_06_dbt_tests.png"/>
                    <pic:cNvPicPr/>
                  </pic:nvPicPr>
                  <pic:blipFill>
                    <a:blip r:embed="rId26"/>
                    <a:stretch>
                      <a:fillRect/>
                    </a:stretch>
                  </pic:blipFill>
                  <pic:spPr>
                    <a:xfrm>
                      <a:off x="0" y="0"/>
                      <a:ext cx="5577840" cy="1798618"/>
                    </a:xfrm>
                    <a:prstGeom prst="rect"/>
                  </pic:spPr>
                </pic:pic>
              </a:graphicData>
            </a:graphic>
          </wp:inline>
        </w:drawing>
      </w:r>
    </w:p>
    <w:p>
      <w:pPr>
        <w:jc w:val="center"/>
      </w:pPr>
      <w:r>
        <w:rPr>
          <w:i/>
          <w:color w:val="60646B"/>
          <w:sz w:val="17"/>
        </w:rPr>
        <w:t>Figure 10 - dbt build: models and data tests.</w:t>
      </w:r>
    </w:p>
    <w:p>
      <w:r>
        <w:t>The reproducible run record, delivery-mode check and DuckDB/Fabric scope are documented in docs/DBT_EVIDENCE.md.</w:t>
      </w:r>
    </w:p>
    <w:p>
      <w:r>
        <w:br w:type="page"/>
      </w:r>
    </w:p>
    <w:p>
      <w:pPr>
        <w:pStyle w:val="Heading1"/>
        <w:spacing w:before="0"/>
      </w:pPr>
      <w:r>
        <w:rPr>
          <w:rFonts w:ascii="Calibri" w:hAnsi="Calibri"/>
          <w:b/>
          <w:color w:val="F52635"/>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19" name="Picture 19"/>
            <wp:cNvGraphicFramePr>
              <a:graphicFrameLocks noChangeAspect="1"/>
            </wp:cNvGraphicFramePr>
            <a:graphic>
              <a:graphicData uri="http://schemas.openxmlformats.org/drawingml/2006/picture">
                <pic:pic>
                  <pic:nvPicPr>
                    <pic:cNvPr id="0" name="ml_bands.png"/>
                    <pic:cNvPicPr/>
                  </pic:nvPicPr>
                  <pic:blipFill>
                    <a:blip r:embed="rId27"/>
                    <a:stretch>
                      <a:fillRect/>
                    </a:stretch>
                  </pic:blipFill>
                  <pic:spPr>
                    <a:xfrm>
                      <a:off x="0" y="0"/>
                      <a:ext cx="5577840" cy="2281844"/>
                    </a:xfrm>
                    <a:prstGeom prst="rect"/>
                  </pic:spPr>
                </pic:pic>
              </a:graphicData>
            </a:graphic>
          </wp:inline>
        </w:drawing>
      </w:r>
    </w:p>
    <w:p>
      <w:pPr>
        <w:jc w:val="center"/>
      </w:pPr>
      <w:r>
        <w:rPr>
          <w:i/>
          <w:color w:val="60646B"/>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20" name="Picture 20"/>
            <wp:cNvGraphicFramePr>
              <a:graphicFrameLocks noChangeAspect="1"/>
            </wp:cNvGraphicFramePr>
            <a:graphic>
              <a:graphicData uri="http://schemas.openxmlformats.org/drawingml/2006/picture">
                <pic:pic>
                  <pic:nvPicPr>
                    <pic:cNvPr id="0" name="ml_importance.png"/>
                    <pic:cNvPicPr/>
                  </pic:nvPicPr>
                  <pic:blipFill>
                    <a:blip r:embed="rId28"/>
                    <a:stretch>
                      <a:fillRect/>
                    </a:stretch>
                  </pic:blipFill>
                  <pic:spPr>
                    <a:xfrm>
                      <a:off x="0" y="0"/>
                      <a:ext cx="5577840" cy="2281844"/>
                    </a:xfrm>
                    <a:prstGeom prst="rect"/>
                  </pic:spPr>
                </pic:pic>
              </a:graphicData>
            </a:graphic>
          </wp:inline>
        </w:drawing>
      </w:r>
    </w:p>
    <w:p>
      <w:pPr>
        <w:jc w:val="center"/>
      </w:pPr>
      <w:r>
        <w:rPr>
          <w:i/>
          <w:color w:val="60646B"/>
          <w:sz w:val="17"/>
        </w:rPr>
        <w:t>Figure 10b - What each model actually leans on.</w:t>
      </w:r>
    </w:p>
    <w:p>
      <w:pPr>
        <w:pStyle w:val="Heading2"/>
        <w:spacing w:before="240"/>
      </w:pPr>
      <w:r>
        <w:rPr>
          <w:rFonts w:ascii="Calibri" w:hAnsi="Calibri"/>
          <w:b/>
          <w:color w:val="1D1D1B"/>
          <w:sz w:val="32"/>
        </w:rPr>
        <w:t>4.1  What to do about it</w:t>
      </w:r>
    </w:p>
    <w:p>
      <w:pPr>
        <w:pStyle w:val="ListBullet"/>
      </w:pPr>
      <w:r>
        <w:rPr>
          <w:b/>
          <w:color w:val="F52635"/>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F52635"/>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F52635"/>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F52635"/>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2"/>
        <w:spacing w:before="240"/>
      </w:pPr>
      <w:r>
        <w:rPr>
          <w:rFonts w:ascii="Calibri" w:hAnsi="Calibri"/>
          <w:b/>
          <w:color w:val="1D1D1B"/>
          <w:sz w:val="32"/>
        </w:rPr>
        <w:t>4.2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pPr>
        <w:pStyle w:val="Heading2"/>
        <w:spacing w:before="240"/>
      </w:pPr>
      <w:r>
        <w:rPr>
          <w:rFonts w:ascii="Calibri" w:hAnsi="Calibri"/>
          <w:b/>
          <w:color w:val="1D1D1B"/>
          <w:sz w:val="32"/>
        </w:rPr>
        <w:t>4.3  From AI score to a human decision</w:t>
      </w:r>
    </w:p>
    <w:p>
      <w:r>
        <w:t>The model outputs are warehouse tables, not autonomous CRM actions. The lead-propensity score orders a worklist: a recruiter can spend their next call on the leads most likely to enrol, while still seeing the band and the underlying CRM record. The withdrawal-risk score is an early-warning list for a student-success team. It should trigger a conversation or support offer, never an automated adverse decision. Power BI exposes the score distribution and observed outcomes so a team can see whether the ranking remains useful before operationalising it.</w:t>
      </w:r>
    </w:p>
    <w:p>
      <w:r>
        <w:br w:type="page"/>
      </w:r>
    </w:p>
    <w:p>
      <w:pPr>
        <w:pStyle w:val="Heading1"/>
        <w:spacing w:before="0"/>
      </w:pPr>
      <w:r>
        <w:rPr>
          <w:rFonts w:ascii="Calibri" w:hAnsi="Calibri"/>
          <w:b/>
          <w:color w:val="F52635"/>
          <w:sz w:val="40"/>
        </w:rPr>
        <w:t>5  Recommendations and solutions</w:t>
      </w:r>
    </w:p>
    <w:p>
      <w:r>
        <w:t>The dashboard is most useful when each signal ends in a decision. The table below turns the observed patterns into a practical owner, intervention and success measure. It is a control plan for the next operating cycle, not a claim that synthetic outcomes will repeat in the live organisation.</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Area</w:t>
            </w:r>
          </w:p>
        </w:tc>
        <w:tc>
          <w:tcPr>
            <w:tcW w:type="dxa" w:w="2160"/>
          </w:tcPr>
          <w:p>
            <w:r>
              <w:t>Signal</w:t>
            </w:r>
          </w:p>
        </w:tc>
        <w:tc>
          <w:tcPr>
            <w:tcW w:type="dxa" w:w="2160"/>
          </w:tcPr>
          <w:p>
            <w:r>
              <w:t>Solution</w:t>
            </w:r>
          </w:p>
        </w:tc>
        <w:tc>
          <w:tcPr>
            <w:tcW w:type="dxa" w:w="2160"/>
          </w:tcPr>
          <w:p>
            <w:r>
              <w:t>Success measure</w:t>
            </w:r>
          </w:p>
        </w:tc>
      </w:tr>
      <w:tr>
        <w:tc>
          <w:tcPr>
            <w:tcW w:type="dxa" w:w="2160"/>
          </w:tcPr>
          <w:p>
            <w:r>
              <w:t>Acquisition</w:t>
            </w:r>
          </w:p>
        </w:tc>
        <w:tc>
          <w:tcPr>
            <w:tcW w:type="dxa" w:w="2160"/>
          </w:tcPr>
          <w:p>
            <w:r>
              <w:t>Channel response, enrolment rate and revenue per member diverge.</w:t>
            </w:r>
          </w:p>
        </w:tc>
        <w:tc>
          <w:tcPr>
            <w:tcW w:type="dxa" w:w="2160"/>
          </w:tcPr>
          <w:p>
            <w:r>
              <w:t>Run a controlled budget test toward the best-performing channel; set a stop rule for spend without response.</w:t>
            </w:r>
          </w:p>
        </w:tc>
        <w:tc>
          <w:tcPr>
            <w:tcW w:type="dxa" w:w="2160"/>
          </w:tcPr>
          <w:p>
            <w:r>
              <w:t>ROAS, spend per response and revenue per member improve without increasing total spend.</w:t>
            </w:r>
          </w:p>
        </w:tc>
      </w:tr>
      <w:tr>
        <w:tc>
          <w:tcPr>
            <w:tcW w:type="dxa" w:w="2160"/>
          </w:tcPr>
          <w:p>
            <w:r>
              <w:t>Admissions</w:t>
            </w:r>
          </w:p>
        </w:tc>
        <w:tc>
          <w:tcPr>
            <w:tcW w:type="dxa" w:w="2160"/>
          </w:tcPr>
          <w:p>
            <w:r>
              <w:t>Priority propensity leads convert at a much higher rate than the lower bands.</w:t>
            </w:r>
          </w:p>
        </w:tc>
        <w:tc>
          <w:tcPr>
            <w:tcW w:type="dxa" w:w="2160"/>
          </w:tcPr>
          <w:p>
            <w:r>
              <w:t>Route Priority leads to a named human queue within 24 hours and leave Low-band leads in automated nurture.</w:t>
            </w:r>
          </w:p>
        </w:tc>
        <w:tc>
          <w:tcPr>
            <w:tcW w:type="dxa" w:w="2160"/>
          </w:tcPr>
          <w:p>
            <w:r>
              <w:t>Response SLA and conversion rate improve; top-band lift remains stable on a holdout.</w:t>
            </w:r>
          </w:p>
        </w:tc>
      </w:tr>
      <w:tr>
        <w:tc>
          <w:tcPr>
            <w:tcW w:type="dxa" w:w="2160"/>
          </w:tcPr>
          <w:p>
            <w:r>
              <w:t>Student success</w:t>
            </w:r>
          </w:p>
        </w:tc>
        <w:tc>
          <w:tcPr>
            <w:tcW w:type="dxa" w:w="2160"/>
          </w:tcPr>
          <w:p>
            <w:r>
              <w:t>First-month attendance below 65% is associated with materially higher withdrawal.</w:t>
            </w:r>
          </w:p>
        </w:tc>
        <w:tc>
          <w:tcPr>
            <w:tcW w:type="dxa" w:w="2160"/>
          </w:tcPr>
          <w:p>
            <w:r>
              <w:t>Trigger a support conversation at week 4, log the intervention and compare with the prior cohort.</w:t>
            </w:r>
          </w:p>
        </w:tc>
        <w:tc>
          <w:tcPr>
            <w:tcW w:type="dxa" w:w="2160"/>
          </w:tcPr>
          <w:p>
            <w:r>
              <w:t>Week-4 attendance rises and withdrawal falls for comparable cohorts.</w:t>
            </w:r>
          </w:p>
        </w:tc>
      </w:tr>
      <w:tr>
        <w:tc>
          <w:tcPr>
            <w:tcW w:type="dxa" w:w="2160"/>
          </w:tcPr>
          <w:p>
            <w:r>
              <w:t>CRM quality</w:t>
            </w:r>
          </w:p>
        </w:tc>
        <w:tc>
          <w:tcPr>
            <w:tcW w:type="dxa" w:w="2160"/>
          </w:tcPr>
          <w:p>
            <w:r>
              <w:t>Blank-only filters, duplicate people and missing contact fields weaken follow-up.</w:t>
            </w:r>
          </w:p>
        </w:tc>
        <w:tc>
          <w:tcPr>
            <w:tcW w:type="dxa" w:w="2160"/>
          </w:tcPr>
          <w:p>
            <w:r>
              <w:t>Require external IDs, email and campaign membership at capture; send exceptions to a daily queue.</w:t>
            </w:r>
          </w:p>
        </w:tc>
        <w:tc>
          <w:tcPr>
            <w:tcW w:type="dxa" w:w="2160"/>
          </w:tcPr>
          <w:p>
            <w:r>
              <w:t>Email completeness rises, duplicate rate falls and unresolved issues are closed within SLA.</w:t>
            </w:r>
          </w:p>
        </w:tc>
      </w:tr>
      <w:tr>
        <w:tc>
          <w:tcPr>
            <w:tcW w:type="dxa" w:w="2160"/>
          </w:tcPr>
          <w:p>
            <w:r>
              <w:t>Catalogue</w:t>
            </w:r>
          </w:p>
        </w:tc>
        <w:tc>
          <w:tcPr>
            <w:tcW w:type="dxa" w:w="2160"/>
          </w:tcPr>
          <w:p>
            <w:r>
              <w:t>Enquire-for-price offerings have no defensible numeric fee.</w:t>
            </w:r>
          </w:p>
        </w:tc>
        <w:tc>
          <w:tcPr>
            <w:tcW w:type="dxa" w:w="2160"/>
          </w:tcPr>
          <w:p>
            <w:r>
              <w:t>Keep price as null with an explicit status; add a verified fee only when the public source supplies one.</w:t>
            </w:r>
          </w:p>
        </w:tc>
        <w:tc>
          <w:tcPr>
            <w:tcW w:type="dxa" w:w="2160"/>
          </w:tcPr>
          <w:p>
            <w:r>
              <w:t>No unknown price is reported as zero and fee refreshes retain source evidence.</w:t>
            </w:r>
          </w:p>
        </w:tc>
      </w:tr>
      <w:tr>
        <w:tc>
          <w:tcPr>
            <w:tcW w:type="dxa" w:w="2160"/>
          </w:tcPr>
          <w:p>
            <w:r>
              <w:t>Platform</w:t>
            </w:r>
          </w:p>
        </w:tc>
        <w:tc>
          <w:tcPr>
            <w:tcW w:type="dxa" w:w="2160"/>
          </w:tcPr>
          <w:p>
            <w:r>
              <w:t>Bronze is verified; silver/gold Fabric execution and GA4 are still gated.</w:t>
            </w:r>
          </w:p>
        </w:tc>
        <w:tc>
          <w:tcPr>
            <w:tcW w:type="dxa" w:w="2160"/>
          </w:tcPr>
          <w:p>
            <w:r>
              <w:t>Finish DuckDB-to-T-SQL compatibility fixes, rerun dbt in Fabric, then add GA4 as a separate dated bronze source.</w:t>
            </w:r>
          </w:p>
        </w:tc>
        <w:tc>
          <w:tcPr>
            <w:tcW w:type="dxa" w:w="2160"/>
          </w:tcPr>
          <w:p>
            <w:r>
              <w:t>A passing Fabric run and a reconciled GA4-to-campaign mart before production reporting.</w:t>
            </w:r>
          </w:p>
        </w:tc>
      </w:tr>
    </w:tbl>
    <w:p>
      <w:pPr>
        <w:pStyle w:val="Heading2"/>
        <w:spacing w:before="240"/>
      </w:pPr>
      <w:r>
        <w:rPr>
          <w:rFonts w:ascii="Calibri" w:hAnsi="Calibri"/>
          <w:b/>
          <w:color w:val="1D1D1B"/>
          <w:sz w:val="32"/>
        </w:rPr>
        <w:t>5.1  90-day implementation sequence</w:t>
      </w:r>
    </w:p>
    <w:p>
      <w:pPr>
        <w:pStyle w:val="ListBullet"/>
      </w:pPr>
      <w:r>
        <w:rPr>
          <w:b/>
          <w:color w:val="F52635"/>
        </w:rPr>
        <w:t xml:space="preserve">Days 0-30 - Stabilise. </w:t>
      </w:r>
      <w:r>
        <w:t>Confirm field rules, remove blank-bound slicers, assign the Priority queue and baseline the KPI cards.</w:t>
      </w:r>
    </w:p>
    <w:p>
      <w:pPr>
        <w:pStyle w:val="ListBullet"/>
      </w:pPr>
      <w:r>
        <w:rPr>
          <w:b/>
          <w:color w:val="F52635"/>
        </w:rPr>
        <w:t xml:space="preserve">Days 31-60 - Test. </w:t>
      </w:r>
      <w:r>
        <w:t>Run channel and follow-up holdouts, log student-support interventions and keep spend and cohort definitions fixed.</w:t>
      </w:r>
    </w:p>
    <w:p>
      <w:pPr>
        <w:pStyle w:val="ListBullet"/>
      </w:pPr>
      <w:r>
        <w:rPr>
          <w:b/>
          <w:color w:val="F52635"/>
        </w:rPr>
        <w:t xml:space="preserve">Days 61-90 - Scale. </w:t>
      </w:r>
      <w:r>
        <w:t>Promote only interventions that beat baseline, publish the weekly action list and monitor model drift by delivery mode and channel.</w:t>
      </w:r>
    </w:p>
    <w:p>
      <w:r>
        <w:t>No model score should make an automated adverse decision. Scores order a worklist for a human team; the team records the action and the outcome so the recommendation can be challenged and improved.</w:t>
      </w:r>
    </w:p>
    <w:p>
      <w:r>
        <w:br w:type="page"/>
      </w:r>
    </w:p>
    <w:p>
      <w:pPr>
        <w:pStyle w:val="Heading1"/>
        <w:spacing w:before="0"/>
      </w:pPr>
      <w:r>
        <w:rPr>
          <w:rFonts w:ascii="Calibri" w:hAnsi="Calibri"/>
          <w:b/>
          <w:color w:val="F52635"/>
          <w:sz w:val="40"/>
        </w:rPr>
        <w:t>6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jc w:val="center"/>
      </w:pPr>
      <w:r>
        <w:drawing>
          <wp:inline xmlns:a="http://schemas.openxmlformats.org/drawingml/2006/main" xmlns:pic="http://schemas.openxmlformats.org/drawingml/2006/picture">
            <wp:extent cx="5577840" cy="2551565"/>
            <wp:docPr id="21" name="Picture 21"/>
            <wp:cNvGraphicFramePr>
              <a:graphicFrameLocks noChangeAspect="1"/>
            </wp:cNvGraphicFramePr>
            <a:graphic>
              <a:graphicData uri="http://schemas.openxmlformats.org/drawingml/2006/picture">
                <pic:pic>
                  <pic:nvPicPr>
                    <pic:cNvPr id="0" name="ev_09_medallion.png"/>
                    <pic:cNvPicPr/>
                  </pic:nvPicPr>
                  <pic:blipFill>
                    <a:blip r:embed="rId29"/>
                    <a:stretch>
                      <a:fillRect/>
                    </a:stretch>
                  </pic:blipFill>
                  <pic:spPr>
                    <a:xfrm>
                      <a:off x="0" y="0"/>
                      <a:ext cx="5577840" cy="2551565"/>
                    </a:xfrm>
                    <a:prstGeom prst="rect"/>
                  </pic:spPr>
                </pic:pic>
              </a:graphicData>
            </a:graphic>
          </wp:inline>
        </w:drawing>
      </w:r>
    </w:p>
    <w:p>
      <w:pPr>
        <w:jc w:val="center"/>
      </w:pPr>
      <w:r>
        <w:rPr>
          <w:i/>
          <w:color w:val="60646B"/>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1D1D1B"/>
          <w:sz w:val="32"/>
        </w:rPr>
        <w:t>6.1  Full canonical Salesforce ERD</w:t>
      </w:r>
    </w:p>
    <w:p>
      <w:r>
        <w:t>The complete canonical ERD is included here as the source-of-truth relationship map. It includes the public catalogue objects, Salesforce operational objects, applications, enrolments and student-progress spine. Archived diagrams are not implementation targets.</w:t>
      </w:r>
    </w:p>
    <w:p>
      <w:pPr>
        <w:jc w:val="center"/>
      </w:pPr>
      <w:r>
        <w:drawing>
          <wp:inline xmlns:a="http://schemas.openxmlformats.org/drawingml/2006/main" xmlns:pic="http://schemas.openxmlformats.org/drawingml/2006/picture">
            <wp:extent cx="5669280" cy="4251960"/>
            <wp:docPr id="22" name="Picture 22"/>
            <wp:cNvGraphicFramePr>
              <a:graphicFrameLocks noChangeAspect="1"/>
            </wp:cNvGraphicFramePr>
            <a:graphic>
              <a:graphicData uri="http://schemas.openxmlformats.org/drawingml/2006/picture">
                <pic:pic>
                  <pic:nvPicPr>
                    <pic:cNvPr id="0" name="03_Canonical_ERD.png"/>
                    <pic:cNvPicPr/>
                  </pic:nvPicPr>
                  <pic:blipFill>
                    <a:blip r:embed="rId30"/>
                    <a:stretch>
                      <a:fillRect/>
                    </a:stretch>
                  </pic:blipFill>
                  <pic:spPr>
                    <a:xfrm>
                      <a:off x="0" y="0"/>
                      <a:ext cx="5669280" cy="4251960"/>
                    </a:xfrm>
                    <a:prstGeom prst="rect"/>
                  </pic:spPr>
                </pic:pic>
              </a:graphicData>
            </a:graphic>
          </wp:inline>
        </w:drawing>
      </w:r>
    </w:p>
    <w:p>
      <w:pPr>
        <w:jc w:val="center"/>
      </w:pPr>
      <w:r>
        <w:rPr>
          <w:i/>
          <w:color w:val="60646B"/>
          <w:sz w:val="17"/>
        </w:rPr>
        <w:t>Canonical Salesforce ERD — complete implementation target, rendered from erds/overview.svg.</w:t>
      </w:r>
    </w:p>
    <w:p>
      <w:pPr>
        <w:pStyle w:val="Heading2"/>
        <w:spacing w:before="240"/>
      </w:pPr>
      <w:r>
        <w:rPr>
          <w:rFonts w:ascii="Calibri" w:hAnsi="Calibri"/>
          <w:b/>
          <w:color w:val="1D1D1B"/>
          <w:sz w:val="32"/>
        </w:rPr>
        <w:t>6.2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jc w:val="center"/>
      </w:pPr>
      <w:r>
        <w:drawing>
          <wp:inline xmlns:a="http://schemas.openxmlformats.org/drawingml/2006/main" xmlns:pic="http://schemas.openxmlformats.org/drawingml/2006/picture">
            <wp:extent cx="5577840" cy="3560323"/>
            <wp:docPr id="23" name="Picture 23"/>
            <wp:cNvGraphicFramePr>
              <a:graphicFrameLocks noChangeAspect="1"/>
            </wp:cNvGraphicFramePr>
            <a:graphic>
              <a:graphicData uri="http://schemas.openxmlformats.org/drawingml/2006/picture">
                <pic:pic>
                  <pic:nvPicPr>
                    <pic:cNvPr id="0" name="ev_10_data_model.png"/>
                    <pic:cNvPicPr/>
                  </pic:nvPicPr>
                  <pic:blipFill>
                    <a:blip r:embed="rId31"/>
                    <a:stretch>
                      <a:fillRect/>
                    </a:stretch>
                  </pic:blipFill>
                  <pic:spPr>
                    <a:xfrm>
                      <a:off x="0" y="0"/>
                      <a:ext cx="5577840" cy="3560323"/>
                    </a:xfrm>
                    <a:prstGeom prst="rect"/>
                  </pic:spPr>
                </pic:pic>
              </a:graphicData>
            </a:graphic>
          </wp:inline>
        </w:drawing>
      </w:r>
    </w:p>
    <w:p>
      <w:pPr>
        <w:jc w:val="center"/>
      </w:pPr>
      <w:r>
        <w:rPr>
          <w:i/>
          <w:color w:val="60646B"/>
          <w:sz w:val="17"/>
        </w:rPr>
        <w:t>Figure 10d - The semantic model, read from its TMDL. Facts sit at the centre in red, dimensions on the ring.</w:t>
      </w:r>
    </w:p>
    <w:p>
      <w:r>
        <w:br w:type="page"/>
      </w:r>
    </w:p>
    <w:p>
      <w:pPr>
        <w:pStyle w:val="Heading1"/>
        <w:spacing w:before="0"/>
      </w:pPr>
      <w:r>
        <w:rPr>
          <w:rFonts w:ascii="Calibri" w:hAnsi="Calibri"/>
          <w:b/>
          <w:color w:val="F52635"/>
          <w:sz w:val="40"/>
        </w:rPr>
        <w:t>7  The pipeline infrastructure</w:t>
      </w:r>
    </w:p>
    <w:p>
      <w:r>
        <w:t>Two pieces of the stack are running systems rather than code in a repository, so they are shown as they actually are - read from their own APIs at the moment this document was built.</w:t>
      </w:r>
    </w:p>
    <w:p>
      <w:pPr>
        <w:pStyle w:val="Heading2"/>
        <w:spacing w:before="240"/>
      </w:pPr>
      <w:r>
        <w:rPr>
          <w:rFonts w:ascii="Calibri" w:hAnsi="Calibri"/>
          <w:b/>
          <w:color w:val="1D1D1B"/>
          <w:sz w:val="32"/>
        </w:rPr>
        <w:t>7.1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24" name="Picture 24"/>
            <wp:cNvGraphicFramePr>
              <a:graphicFrameLocks noChangeAspect="1"/>
            </wp:cNvGraphicFramePr>
            <a:graphic>
              <a:graphicData uri="http://schemas.openxmlformats.org/drawingml/2006/picture">
                <pic:pic>
                  <pic:nvPicPr>
                    <pic:cNvPr id="0" name="ev_07_nifi_flow.png"/>
                    <pic:cNvPicPr/>
                  </pic:nvPicPr>
                  <pic:blipFill>
                    <a:blip r:embed="rId32"/>
                    <a:stretch>
                      <a:fillRect/>
                    </a:stretch>
                  </pic:blipFill>
                  <pic:spPr>
                    <a:xfrm>
                      <a:off x="0" y="0"/>
                      <a:ext cx="5577840" cy="6502930"/>
                    </a:xfrm>
                    <a:prstGeom prst="rect"/>
                  </pic:spPr>
                </pic:pic>
              </a:graphicData>
            </a:graphic>
          </wp:inline>
        </w:drawing>
      </w:r>
    </w:p>
    <w:p>
      <w:pPr>
        <w:jc w:val="center"/>
      </w:pPr>
      <w:r>
        <w:rPr>
          <w:i/>
          <w:color w:val="60646B"/>
          <w:sz w:val="17"/>
        </w:rPr>
        <w:t>Figure 11 - The live NiFi hierarchy. RY_Salesforce_to_Fabric holds two stage groups; the LYRA groups are unrelated work on the same instance.</w:t>
      </w:r>
    </w:p>
    <w:p>
      <w:pPr>
        <w:pStyle w:val="Heading2"/>
        <w:spacing w:before="240"/>
      </w:pPr>
      <w:r>
        <w:rPr>
          <w:rFonts w:ascii="Calibri" w:hAnsi="Calibri"/>
          <w:b/>
          <w:color w:val="1D1D1B"/>
          <w:sz w:val="32"/>
        </w:rPr>
        <w:t>7.2  Microsoft Fabric</w:t>
      </w:r>
    </w:p>
    <w:p>
      <w:r>
        <w:t>Fabric Warehouse bronze is verified. All 13 landed source tables are present in raw_salesforce: 1.50 million leads, 1.14 million contacts, 2.53 million campaign members, 706 thousand opportunities, 494 thousand applications and 2.10 million student-progress rows, with the programme catalogue tables alongside them. The Azure CLI dbt connection and a bronze campaign view both passed. The silver and gold Fabric build is intentionally not claimed as complete: its remaining failures are documented DuckDB-to-T-SQL compatibility work, including date and join syntax.</w:t>
      </w:r>
    </w:p>
    <w:p>
      <w:r>
        <w:t>The bronze land is partitioned by table in OneLake. A workspace created through the API arrives with no capacity attached, and every Fabric item type then fails with a 403 that looks like licensing rather than an unassigned workspace. Trial capacity does not stop on its own, so delete the project workspace when the demonstration is complete.</w:t>
      </w:r>
    </w:p>
    <w:p>
      <w:pPr>
        <w:jc w:val="center"/>
      </w:pPr>
      <w:r>
        <w:drawing>
          <wp:inline xmlns:a="http://schemas.openxmlformats.org/drawingml/2006/main" xmlns:pic="http://schemas.openxmlformats.org/drawingml/2006/picture">
            <wp:extent cx="5577840" cy="3651832"/>
            <wp:docPr id="25" name="Picture 25"/>
            <wp:cNvGraphicFramePr>
              <a:graphicFrameLocks noChangeAspect="1"/>
            </wp:cNvGraphicFramePr>
            <a:graphic>
              <a:graphicData uri="http://schemas.openxmlformats.org/drawingml/2006/picture">
                <pic:pic>
                  <pic:nvPicPr>
                    <pic:cNvPr id="0" name="ev_08_fabric.png"/>
                    <pic:cNvPicPr/>
                  </pic:nvPicPr>
                  <pic:blipFill>
                    <a:blip r:embed="rId33"/>
                    <a:stretch>
                      <a:fillRect/>
                    </a:stretch>
                  </pic:blipFill>
                  <pic:spPr>
                    <a:xfrm>
                      <a:off x="0" y="0"/>
                      <a:ext cx="5577840" cy="3651832"/>
                    </a:xfrm>
                    <a:prstGeom prst="rect"/>
                  </pic:spPr>
                </pic:pic>
              </a:graphicData>
            </a:graphic>
          </wp:inline>
        </w:drawing>
      </w:r>
    </w:p>
    <w:p>
      <w:pPr>
        <w:jc w:val="center"/>
      </w:pPr>
      <w:r>
        <w:rPr>
          <w:i/>
          <w:color w:val="60646B"/>
          <w:sz w:val="17"/>
        </w:rPr>
        <w:t>Figure 12 - The Fabric workspace, its capacity, and what is actually in OneLake.</w:t>
      </w:r>
    </w:p>
    <w:p>
      <w:pPr>
        <w:pStyle w:val="Heading2"/>
        <w:spacing w:before="240"/>
      </w:pPr>
      <w:r>
        <w:rPr>
          <w:rFonts w:ascii="Calibri" w:hAnsi="Calibri"/>
          <w:b/>
          <w:color w:val="1D1D1B"/>
          <w:sz w:val="32"/>
        </w:rPr>
        <w:t>7.3  GA4 to Fabric — the next integration, not a claimed result</w:t>
      </w:r>
    </w:p>
    <w:p>
      <w:r>
        <w:t>A GA4 NiFi builder is included, but it has no configured GA4 credential, successful extract or warehouse source table, and no report number uses GA4 data. The practical next route is a scheduled GA4 Data API extract or a BigQuery export into an immutable OneLake bronze partition by event date. A dbt staging model would then conform date and campaign keys before a gold attribution mart joins aggregate reach and traffic to the campaign spine already used by Power BI. Keep user-level analytics identifiers out of the CRM join; campaign, source and date are enough for the first use case.</w:t>
      </w:r>
    </w:p>
    <w:p>
      <w:pPr>
        <w:jc w:val="center"/>
      </w:pPr>
      <w:r>
        <w:drawing>
          <wp:inline xmlns:a="http://schemas.openxmlformats.org/drawingml/2006/main" xmlns:pic="http://schemas.openxmlformats.org/drawingml/2006/picture">
            <wp:extent cx="5577840" cy="2048113"/>
            <wp:docPr id="26" name="Picture 26"/>
            <wp:cNvGraphicFramePr>
              <a:graphicFrameLocks noChangeAspect="1"/>
            </wp:cNvGraphicFramePr>
            <a:graphic>
              <a:graphicData uri="http://schemas.openxmlformats.org/drawingml/2006/picture">
                <pic:pic>
                  <pic:nvPicPr>
                    <pic:cNvPr id="0" name="ga4_to_fabric.png"/>
                    <pic:cNvPicPr/>
                  </pic:nvPicPr>
                  <pic:blipFill>
                    <a:blip r:embed="rId34"/>
                    <a:stretch>
                      <a:fillRect/>
                    </a:stretch>
                  </pic:blipFill>
                  <pic:spPr>
                    <a:xfrm>
                      <a:off x="0" y="0"/>
                      <a:ext cx="5577840" cy="2048113"/>
                    </a:xfrm>
                    <a:prstGeom prst="rect"/>
                  </pic:spPr>
                </pic:pic>
              </a:graphicData>
            </a:graphic>
          </wp:inline>
        </w:drawing>
      </w:r>
    </w:p>
    <w:p>
      <w:pPr>
        <w:jc w:val="center"/>
      </w:pPr>
      <w:r>
        <w:rPr>
          <w:i/>
          <w:color w:val="60646B"/>
          <w:sz w:val="17"/>
        </w:rPr>
        <w:t>Figure 13 - Proposed GA4 extension. It is intentionally separated from the verified Salesforce-to-Fabric flow.</w:t>
      </w:r>
    </w:p>
    <w:p>
      <w:pPr>
        <w:pStyle w:val="Heading2"/>
        <w:spacing w:before="240"/>
      </w:pPr>
      <w:r>
        <w:rPr>
          <w:rFonts w:ascii="Calibri" w:hAnsi="Calibri"/>
          <w:b/>
          <w:color w:val="1D1D1B"/>
          <w:sz w:val="32"/>
        </w:rPr>
        <w:t>7.4  Screens from the org</w:t>
      </w:r>
    </w:p>
    <w:p>
      <w:pPr>
        <w:jc w:val="center"/>
      </w:pPr>
      <w:r>
        <w:drawing>
          <wp:inline xmlns:a="http://schemas.openxmlformats.org/drawingml/2006/main" xmlns:pic="http://schemas.openxmlformats.org/drawingml/2006/picture">
            <wp:extent cx="5394960" cy="3033184"/>
            <wp:docPr id="27" name="Picture 27"/>
            <wp:cNvGraphicFramePr>
              <a:graphicFrameLocks noChangeAspect="1"/>
            </wp:cNvGraphicFramePr>
            <a:graphic>
              <a:graphicData uri="http://schemas.openxmlformats.org/drawingml/2006/picture">
                <pic:pic>
                  <pic:nvPicPr>
                    <pic:cNvPr id="0" name="06_PowerBI_predictive_actions.png"/>
                    <pic:cNvPicPr/>
                  </pic:nvPicPr>
                  <pic:blipFill>
                    <a:blip r:embed="rId35"/>
                    <a:stretch>
                      <a:fillRect/>
                    </a:stretch>
                  </pic:blipFill>
                  <pic:spPr>
                    <a:xfrm>
                      <a:off x="0" y="0"/>
                      <a:ext cx="5394960" cy="3033184"/>
                    </a:xfrm>
                    <a:prstGeom prst="rect"/>
                  </pic:spPr>
                </pic:pic>
              </a:graphicData>
            </a:graphic>
          </wp:inline>
        </w:drawing>
      </w:r>
    </w:p>
    <w:p>
      <w:pPr>
        <w:jc w:val="center"/>
      </w:pPr>
      <w:r>
        <w:rPr>
          <w:i/>
          <w:color w:val="60646B"/>
          <w:sz w:val="17"/>
        </w:rPr>
        <w:t>PowerBI predictive actions</w:t>
      </w:r>
    </w:p>
    <w:p>
      <w:pPr>
        <w:pStyle w:val="Heading2"/>
        <w:spacing w:before="320"/>
      </w:pPr>
      <w:r>
        <w:rPr>
          <w:rFonts w:ascii="Calibri" w:hAnsi="Calibri"/>
          <w:b/>
          <w:color w:val="1D1D1B"/>
          <w:sz w:val="34"/>
        </w:rPr>
        <w:t>7.5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For reporting, On-campus remains On-campus and listings in the Online education section are classified as Off-campus; the source section is retained separately.</w:t>
      </w:r>
    </w:p>
    <w:p>
      <w:pPr>
        <w:pStyle w:val="ListBullet"/>
      </w:pPr>
      <w:r>
        <w:t>All people, campaign spend, application outcomes and student results are synthetic. Progress dated after the capture date is an illustrative scenario, not a forecast.</w:t>
      </w:r>
    </w:p>
    <w:p>
      <w:pPr>
        <w:pStyle w:val="ListBullet"/>
      </w:pPr>
      <w:r>
        <w:t>DuckDB is fully validated. Fabric bronze loading and dbt connectivity are verified, but the Fabric silver and gold build has documented DuckDB-to-T-SQL compatibility errors. No downstream Fabric transformation result is claimed until those are corrected and rerun.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fif"/><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