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Politique de gouvernance SharePoint Online</w:t>
      </w:r>
    </w:p>
    <w:p>
      <w:pPr>
        <w:spacing w:after="400" w:before="0"/>
      </w:pPr>
      <w:r>
        <w:rPr>
          <w:rFonts w:ascii="Arial" w:cs="Arial" w:eastAsia="Arial" w:hAnsi="Arial"/>
          <w:color w:val="5F5E5A"/>
          <w:sz w:val="20"/>
          <w:szCs w:val="20"/>
        </w:rPr>
        <w:t xml:space="preserve">Version 3.2 — Janvier 2025 — DSI Groupe Horizon</w:t>
      </w:r>
    </w:p>
    <w:p>
      <w:pPr>
        <w:pStyle w:val="Heading1"/>
        <w:spacing w:after="150" w:before="300"/>
      </w:pPr>
      <w:r>
        <w:rPr>
          <w:rFonts w:ascii="Arial" w:cs="Arial" w:eastAsia="Arial" w:hAnsi="Arial"/>
          <w:b/>
          <w:bCs/>
          <w:sz w:val="32"/>
          <w:szCs w:val="32"/>
        </w:rPr>
        <w:t xml:space="preserve">1. Objet et périmètre</w:t>
      </w:r>
    </w:p>
    <w:p>
      <w:pPr>
        <w:spacing w:after="80" w:before="80"/>
      </w:pPr>
      <w:r>
        <w:rPr>
          <w:rFonts w:ascii="Arial" w:cs="Arial" w:eastAsia="Arial" w:hAnsi="Arial"/>
          <w:sz w:val="22"/>
          <w:szCs w:val="22"/>
        </w:rPr>
        <w:t xml:space="preserve">Ce document définit les règles de gouvernance applicables à l'ensemble des sites, bibliothèques et listes SharePoint Online au sein du Groupe Horizon. Il s'applique à toutes les entités du groupe et à tous les prestataires ayant accès aux environnements Microsoft 365.</w:t>
      </w:r>
    </w:p>
    <w:p>
      <w:pPr>
        <w:spacing w:after="80" w:before="80"/>
      </w:pPr>
      <w:r>
        <w:rPr>
          <w:rFonts w:ascii="Arial" w:cs="Arial" w:eastAsia="Arial" w:hAnsi="Arial"/>
          <w:sz w:val="22"/>
          <w:szCs w:val="22"/>
        </w:rPr>
        <w:t xml:space="preserve">La gouvernance SharePoint vise trois objectifs principaux : assurer la sécurité des données, garantir la cohérence des structures, et optimiser l'expérience utilisateur sur l'ensemble du tenant.</w:t>
      </w:r>
    </w:p>
    <w:p>
      <w:r>
        <w:t xml:space="preserve"/>
      </w:r>
    </w:p>
    <w:p>
      <w:pPr>
        <w:pStyle w:val="Heading1"/>
        <w:spacing w:after="150" w:before="300"/>
      </w:pPr>
      <w:r>
        <w:rPr>
          <w:rFonts w:ascii="Arial" w:cs="Arial" w:eastAsia="Arial" w:hAnsi="Arial"/>
          <w:b/>
          <w:bCs/>
          <w:sz w:val="32"/>
          <w:szCs w:val="32"/>
        </w:rPr>
        <w:t xml:space="preserve">2. Structure de site recommandée</w:t>
      </w:r>
    </w:p>
    <w:p>
      <w:pPr>
        <w:pStyle w:val="Heading2"/>
        <w:spacing w:after="120" w:before="240"/>
      </w:pPr>
      <w:r>
        <w:rPr>
          <w:rFonts w:ascii="Arial" w:cs="Arial" w:eastAsia="Arial" w:hAnsi="Arial"/>
          <w:b/>
          <w:bCs/>
          <w:sz w:val="26"/>
          <w:szCs w:val="26"/>
        </w:rPr>
        <w:t xml:space="preserve">2.1 Hiérarchie des sites</w:t>
      </w:r>
    </w:p>
    <w:p>
      <w:pPr>
        <w:spacing w:after="80" w:before="80"/>
      </w:pPr>
      <w:r>
        <w:rPr>
          <w:rFonts w:ascii="Arial" w:cs="Arial" w:eastAsia="Arial" w:hAnsi="Arial"/>
          <w:sz w:val="22"/>
          <w:szCs w:val="22"/>
        </w:rPr>
        <w:t xml:space="preserve">Le tenant Microsoft 365 du Groupe Horizon est organisé selon la structure suivante :</w:t>
      </w:r>
    </w:p>
    <w:p>
      <w:pPr>
        <w:pStyle w:val="ListParagraph"/>
        <w:numPr>
          <w:ilvl w:val="0"/>
          <w:numId w:val="2"/>
        </w:numPr>
        <w:spacing w:after="40" w:before="40"/>
      </w:pPr>
      <w:r>
        <w:rPr>
          <w:rFonts w:ascii="Arial" w:cs="Arial" w:eastAsia="Arial" w:hAnsi="Arial"/>
          <w:sz w:val="22"/>
          <w:szCs w:val="22"/>
        </w:rPr>
        <w:t xml:space="preserve">Site racine (intranet.horizon-groupe.fr) : portail d'accueil et communications corporate</w:t>
      </w:r>
    </w:p>
    <w:p>
      <w:pPr>
        <w:pStyle w:val="ListParagraph"/>
        <w:numPr>
          <w:ilvl w:val="0"/>
          <w:numId w:val="2"/>
        </w:numPr>
        <w:spacing w:after="40" w:before="40"/>
      </w:pPr>
      <w:r>
        <w:rPr>
          <w:rFonts w:ascii="Arial" w:cs="Arial" w:eastAsia="Arial" w:hAnsi="Arial"/>
          <w:sz w:val="22"/>
          <w:szCs w:val="22"/>
        </w:rPr>
        <w:t xml:space="preserve">Sites de division : un site hub par grande division (Finance, RH, Commercial, Technique)</w:t>
      </w:r>
    </w:p>
    <w:p>
      <w:pPr>
        <w:pStyle w:val="ListParagraph"/>
        <w:numPr>
          <w:ilvl w:val="0"/>
          <w:numId w:val="2"/>
        </w:numPr>
        <w:spacing w:after="40" w:before="40"/>
      </w:pPr>
      <w:r>
        <w:rPr>
          <w:rFonts w:ascii="Arial" w:cs="Arial" w:eastAsia="Arial" w:hAnsi="Arial"/>
          <w:sz w:val="22"/>
          <w:szCs w:val="22"/>
        </w:rPr>
        <w:t xml:space="preserve">Sites de département : rattachés au hub de leur division</w:t>
      </w:r>
    </w:p>
    <w:p>
      <w:pPr>
        <w:pStyle w:val="ListParagraph"/>
        <w:numPr>
          <w:ilvl w:val="0"/>
          <w:numId w:val="2"/>
        </w:numPr>
        <w:spacing w:after="40" w:before="40"/>
      </w:pPr>
      <w:r>
        <w:rPr>
          <w:rFonts w:ascii="Arial" w:cs="Arial" w:eastAsia="Arial" w:hAnsi="Arial"/>
          <w:sz w:val="22"/>
          <w:szCs w:val="22"/>
        </w:rPr>
        <w:t xml:space="preserve">Sites de projet : créés à la demande, durée de vie limitée à la durée du projet + 6 mois</w:t>
      </w:r>
    </w:p>
    <w:p>
      <w:r>
        <w:t xml:space="preserve"/>
      </w:r>
    </w:p>
    <w:p>
      <w:pPr>
        <w:pStyle w:val="Heading2"/>
        <w:spacing w:after="120" w:before="240"/>
      </w:pPr>
      <w:r>
        <w:rPr>
          <w:rFonts w:ascii="Arial" w:cs="Arial" w:eastAsia="Arial" w:hAnsi="Arial"/>
          <w:b/>
          <w:bCs/>
          <w:sz w:val="26"/>
          <w:szCs w:val="26"/>
        </w:rPr>
        <w:t xml:space="preserve">2.2 Quota de stockage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de site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Quota par défaut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Quota maximum</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Demande 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hub de division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Go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ITSM priorité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Site de département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Go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Go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Ticket ITSM priorité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Site de projet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Go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Chef de projet référent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OneDrive personnel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To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To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Direction IT</w:t>
            </w:r>
          </w:p>
        </w:tc>
      </w:tr>
    </w:tbl>
    <w:p>
      <w:r>
        <w:t xml:space="preserve"/>
      </w:r>
    </w:p>
    <w:p>
      <w:pPr>
        <w:pStyle w:val="Heading1"/>
        <w:spacing w:after="150" w:before="300"/>
      </w:pPr>
      <w:r>
        <w:rPr>
          <w:rFonts w:ascii="Arial" w:cs="Arial" w:eastAsia="Arial" w:hAnsi="Arial"/>
          <w:b/>
          <w:bCs/>
          <w:sz w:val="32"/>
          <w:szCs w:val="32"/>
        </w:rPr>
        <w:t xml:space="preserve">3. Gestion des accès et permissions</w:t>
      </w:r>
    </w:p>
    <w:p>
      <w:pPr>
        <w:pStyle w:val="Heading2"/>
        <w:spacing w:after="120" w:before="240"/>
      </w:pPr>
      <w:r>
        <w:rPr>
          <w:rFonts w:ascii="Arial" w:cs="Arial" w:eastAsia="Arial" w:hAnsi="Arial"/>
          <w:b/>
          <w:bCs/>
          <w:sz w:val="26"/>
          <w:szCs w:val="26"/>
        </w:rPr>
        <w:t xml:space="preserve">3.1 Groupes de sécurité</w:t>
      </w:r>
    </w:p>
    <w:p>
      <w:pPr>
        <w:spacing w:after="80" w:before="80"/>
      </w:pPr>
      <w:r>
        <w:rPr>
          <w:rFonts w:ascii="Arial" w:cs="Arial" w:eastAsia="Arial" w:hAnsi="Arial"/>
          <w:sz w:val="22"/>
          <w:szCs w:val="22"/>
        </w:rPr>
        <w:t xml:space="preserve">Toute attribution de permission doit se faire via des groupes de sécurité Microsoft Entra ID et non par attribution directe à des utilisateurs individuels. Les trois niveaux de permission standard sont :</w:t>
      </w:r>
    </w:p>
    <w:p>
      <w:pPr>
        <w:pStyle w:val="ListParagraph"/>
        <w:numPr>
          <w:ilvl w:val="0"/>
          <w:numId w:val="2"/>
        </w:numPr>
        <w:spacing w:after="40" w:before="40"/>
      </w:pPr>
      <w:r>
        <w:rPr>
          <w:rFonts w:ascii="Arial" w:cs="Arial" w:eastAsia="Arial" w:hAnsi="Arial"/>
          <w:sz w:val="22"/>
          <w:szCs w:val="22"/>
        </w:rPr>
        <w:t xml:space="preserve">Propriétaires : droits de gestion complète, limités à 2 personnes par site maximum</w:t>
      </w:r>
    </w:p>
    <w:p>
      <w:pPr>
        <w:pStyle w:val="ListParagraph"/>
        <w:numPr>
          <w:ilvl w:val="0"/>
          <w:numId w:val="2"/>
        </w:numPr>
        <w:spacing w:after="40" w:before="40"/>
      </w:pPr>
      <w:r>
        <w:rPr>
          <w:rFonts w:ascii="Arial" w:cs="Arial" w:eastAsia="Arial" w:hAnsi="Arial"/>
          <w:sz w:val="22"/>
          <w:szCs w:val="22"/>
        </w:rPr>
        <w:t xml:space="preserve">Membres : droits de contribution (lecture, écriture, suppression de son propre contenu)</w:t>
      </w:r>
    </w:p>
    <w:p>
      <w:pPr>
        <w:pStyle w:val="ListParagraph"/>
        <w:numPr>
          <w:ilvl w:val="0"/>
          <w:numId w:val="2"/>
        </w:numPr>
        <w:spacing w:after="40" w:before="40"/>
      </w:pPr>
      <w:r>
        <w:rPr>
          <w:rFonts w:ascii="Arial" w:cs="Arial" w:eastAsia="Arial" w:hAnsi="Arial"/>
          <w:sz w:val="22"/>
          <w:szCs w:val="22"/>
        </w:rPr>
        <w:t xml:space="preserve">Visiteurs : droits de lecture seule</w:t>
      </w:r>
    </w:p>
    <w:p>
      <w:r>
        <w:t xml:space="preserve"/>
      </w:r>
    </w:p>
    <w:p>
      <w:pPr>
        <w:pStyle w:val="Heading2"/>
        <w:spacing w:after="120" w:before="240"/>
      </w:pPr>
      <w:r>
        <w:rPr>
          <w:rFonts w:ascii="Arial" w:cs="Arial" w:eastAsia="Arial" w:hAnsi="Arial"/>
          <w:b/>
          <w:bCs/>
          <w:sz w:val="26"/>
          <w:szCs w:val="26"/>
        </w:rPr>
        <w:t xml:space="preserve">3.2 Accès externe</w:t>
      </w:r>
    </w:p>
    <w:p>
      <w:pPr>
        <w:spacing w:after="80" w:before="80"/>
      </w:pPr>
      <w:r>
        <w:rPr>
          <w:rFonts w:ascii="Arial" w:cs="Arial" w:eastAsia="Arial" w:hAnsi="Arial"/>
          <w:sz w:val="22"/>
          <w:szCs w:val="22"/>
        </w:rPr>
        <w:t xml:space="preserve">Le partage externe est désactivé par défaut sur l'ensemble du tenant. Les exceptions doivent être validées par le RSSI et le responsable de la division concernée. La durée maximale d'un lien de partage externe est fixée à 30 jours. Tout accès externe est journalisé dans Microsoft Purview Audit.</w:t>
      </w:r>
    </w:p>
    <w:p>
      <w:r>
        <w:t xml:space="preserve"/>
      </w:r>
    </w:p>
    <w:p>
      <w:pPr>
        <w:pStyle w:val="Heading1"/>
        <w:spacing w:after="150" w:before="300"/>
      </w:pPr>
      <w:r>
        <w:rPr>
          <w:rFonts w:ascii="Arial" w:cs="Arial" w:eastAsia="Arial" w:hAnsi="Arial"/>
          <w:b/>
          <w:bCs/>
          <w:sz w:val="32"/>
          <w:szCs w:val="32"/>
        </w:rPr>
        <w:t xml:space="preserve">4. Cycle de vie des contenus</w:t>
      </w:r>
    </w:p>
    <w:p>
      <w:pPr>
        <w:spacing w:after="80" w:before="80"/>
      </w:pPr>
      <w:r>
        <w:rPr>
          <w:rFonts w:ascii="Arial" w:cs="Arial" w:eastAsia="Arial" w:hAnsi="Arial"/>
          <w:sz w:val="22"/>
          <w:szCs w:val="22"/>
        </w:rPr>
        <w:t xml:space="preserve">La politique de rétention s'applique automatiquement via Microsoft Purview selon les règles suivantes :</w:t>
      </w:r>
    </w:p>
    <w:p>
      <w:pPr>
        <w:pStyle w:val="ListParagraph"/>
        <w:numPr>
          <w:ilvl w:val="0"/>
          <w:numId w:val="2"/>
        </w:numPr>
        <w:spacing w:after="40" w:before="40"/>
      </w:pPr>
      <w:r>
        <w:rPr>
          <w:rFonts w:ascii="Arial" w:cs="Arial" w:eastAsia="Arial" w:hAnsi="Arial"/>
          <w:sz w:val="22"/>
          <w:szCs w:val="22"/>
        </w:rPr>
        <w:t xml:space="preserve">Documents RH et contrats : conservation 10 ans après la fin de validité</w:t>
      </w:r>
    </w:p>
    <w:p>
      <w:pPr>
        <w:pStyle w:val="ListParagraph"/>
        <w:numPr>
          <w:ilvl w:val="0"/>
          <w:numId w:val="2"/>
        </w:numPr>
        <w:spacing w:after="40" w:before="40"/>
      </w:pPr>
      <w:r>
        <w:rPr>
          <w:rFonts w:ascii="Arial" w:cs="Arial" w:eastAsia="Arial" w:hAnsi="Arial"/>
          <w:sz w:val="22"/>
          <w:szCs w:val="22"/>
        </w:rPr>
        <w:t xml:space="preserve">Comptes-rendus de réunion : conservation 5 ans</w:t>
      </w:r>
    </w:p>
    <w:p>
      <w:pPr>
        <w:pStyle w:val="ListParagraph"/>
        <w:numPr>
          <w:ilvl w:val="0"/>
          <w:numId w:val="2"/>
        </w:numPr>
        <w:spacing w:after="40" w:before="40"/>
      </w:pPr>
      <w:r>
        <w:rPr>
          <w:rFonts w:ascii="Arial" w:cs="Arial" w:eastAsia="Arial" w:hAnsi="Arial"/>
          <w:sz w:val="22"/>
          <w:szCs w:val="22"/>
        </w:rPr>
        <w:t xml:space="preserve">Documents de projet : conservation 3 ans après clôture du projet</w:t>
      </w:r>
    </w:p>
    <w:p>
      <w:pPr>
        <w:pStyle w:val="ListParagraph"/>
        <w:numPr>
          <w:ilvl w:val="0"/>
          <w:numId w:val="2"/>
        </w:numPr>
        <w:spacing w:after="40" w:before="40"/>
      </w:pPr>
      <w:r>
        <w:rPr>
          <w:rFonts w:ascii="Arial" w:cs="Arial" w:eastAsia="Arial" w:hAnsi="Arial"/>
          <w:sz w:val="22"/>
          <w:szCs w:val="22"/>
        </w:rPr>
        <w:t xml:space="preserve">Brouillons et documents de travail : suppression automatique après 2 ans sans modification</w:t>
      </w:r>
    </w:p>
    <w:p>
      <w:r>
        <w:t xml:space="preserve"/>
      </w:r>
    </w:p>
    <w:p>
      <w:pPr>
        <w:pStyle w:val="Heading1"/>
        <w:spacing w:after="150" w:before="300"/>
      </w:pPr>
      <w:r>
        <w:rPr>
          <w:rFonts w:ascii="Arial" w:cs="Arial" w:eastAsia="Arial" w:hAnsi="Arial"/>
          <w:b/>
          <w:bCs/>
          <w:sz w:val="32"/>
          <w:szCs w:val="32"/>
        </w:rPr>
        <w:t xml:space="preserve">5. Contacts et escalade</w:t>
      </w:r>
    </w:p>
    <w:p>
      <w:pPr>
        <w:spacing w:after="80" w:before="80"/>
      </w:pPr>
      <w:r>
        <w:rPr>
          <w:rFonts w:ascii="Arial" w:cs="Arial" w:eastAsia="Arial" w:hAnsi="Arial"/>
          <w:sz w:val="22"/>
          <w:szCs w:val="22"/>
        </w:rPr>
        <w:t xml:space="preserve">Pour toute question relative à cette politique, contacter l'équipe Gouvernance M365 via le canal Teams dédié ou par ticket ITSM en catégorie 'SharePoint - Gouvernance'. Le délai de réponse garanti est de 2 jours ouvrés.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F5E5A"/>
        <w:sz w:val="18"/>
        <w:szCs w:val="18"/>
      </w:rPr>
      <w:t xml:space="preserve">Politique de gouvernance SharePoint Online — DSI Groupe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2026-04-01T11:46:53.180Z</dcterms:created>
  <dcterms:modified xsi:type="dcterms:W3CDTF">2026-04-01T11:46:53.182Z</dcterms:modified>
</cp:coreProperties>
</file>

<file path=docProps/custom.xml><?xml version="1.0" encoding="utf-8"?>
<Properties xmlns="http://schemas.openxmlformats.org/officeDocument/2006/custom-properties" xmlns:vt="http://schemas.openxmlformats.org/officeDocument/2006/docPropsVTypes"/>
</file>