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6"/>
          <w:szCs w:val="36"/>
        </w:rPr>
        <w:t xml:space="preserve">Guide de migration SharePoint 2019 vers SharePoint Online</w:t>
      </w:r>
    </w:p>
    <w:p>
      <w:pPr>
        <w:spacing w:after="400" w:before="0"/>
      </w:pPr>
      <w:r>
        <w:rPr>
          <w:rFonts w:ascii="Arial" w:cs="Arial" w:eastAsia="Arial" w:hAnsi="Arial"/>
          <w:color w:val="5F5E5A"/>
          <w:sz w:val="20"/>
          <w:szCs w:val="20"/>
        </w:rPr>
        <w:t xml:space="preserve">Version 2.0 — Mars 2025 — Équipe Modernisation DSI</w:t>
      </w:r>
    </w:p>
    <w:p>
      <w:pPr>
        <w:pStyle w:val="Heading1"/>
        <w:spacing w:after="150" w:before="300"/>
      </w:pPr>
      <w:r>
        <w:rPr>
          <w:rFonts w:ascii="Arial" w:cs="Arial" w:eastAsia="Arial" w:hAnsi="Arial"/>
          <w:b/>
          <w:bCs/>
          <w:sz w:val="32"/>
          <w:szCs w:val="32"/>
        </w:rPr>
        <w:t xml:space="preserve">1. Contexte et objectifs</w:t>
      </w:r>
    </w:p>
    <w:p>
      <w:pPr>
        <w:spacing w:after="80" w:before="80"/>
      </w:pPr>
      <w:r>
        <w:rPr>
          <w:rFonts w:ascii="Arial" w:cs="Arial" w:eastAsia="Arial" w:hAnsi="Arial"/>
          <w:sz w:val="22"/>
          <w:szCs w:val="22"/>
        </w:rPr>
        <w:t xml:space="preserve">Le Groupe Horizon exploite une ferme SharePoint 2019 hébergeant 847 sites, 12 To de données et environ 2 300 utilisateurs actifs. La fin du support étendu de SharePoint 2019 étant fixée au 14 octobre 2026, la migration vers SharePoint Online est engagée depuis janvier 2025 avec un objectif de complétion au 30 juin 2026.</w:t>
      </w:r>
    </w:p>
    <w:p>
      <w:pPr>
        <w:spacing w:after="80" w:before="80"/>
      </w:pPr>
      <w:r>
        <w:rPr>
          <w:rFonts w:ascii="Arial" w:cs="Arial" w:eastAsia="Arial" w:hAnsi="Arial"/>
          <w:sz w:val="22"/>
          <w:szCs w:val="22"/>
        </w:rPr>
        <w:t xml:space="preserve">Les bénéfices attendus de la migration sont : la réduction des coûts d'infrastructure (suppression de 4 serveurs on-premise), l'accès aux fonctionnalités Microsoft 365 Copilot, l'amélioration de la disponibilité (SLA 99,9% vs 99,5% actuel) et la simplification de l'administration.</w:t>
      </w:r>
    </w:p>
    <w:p>
      <w:r>
        <w:t xml:space="preserve"/>
      </w:r>
    </w:p>
    <w:p>
      <w:pPr>
        <w:pStyle w:val="Heading1"/>
        <w:spacing w:after="150" w:before="300"/>
      </w:pPr>
      <w:r>
        <w:rPr>
          <w:rFonts w:ascii="Arial" w:cs="Arial" w:eastAsia="Arial" w:hAnsi="Arial"/>
          <w:b/>
          <w:bCs/>
          <w:sz w:val="32"/>
          <w:szCs w:val="32"/>
        </w:rPr>
        <w:t xml:space="preserve">2. Méthodologie de migration</w:t>
      </w:r>
    </w:p>
    <w:p>
      <w:pPr>
        <w:pStyle w:val="Heading2"/>
        <w:spacing w:after="120" w:before="240"/>
      </w:pPr>
      <w:r>
        <w:rPr>
          <w:rFonts w:ascii="Arial" w:cs="Arial" w:eastAsia="Arial" w:hAnsi="Arial"/>
          <w:b/>
          <w:bCs/>
          <w:sz w:val="26"/>
          <w:szCs w:val="26"/>
        </w:rPr>
        <w:t xml:space="preserve">2.1 Outil retenu : SharePoint Migration Tool (SPMT)</w:t>
      </w:r>
    </w:p>
    <w:p>
      <w:pPr>
        <w:spacing w:after="80" w:before="80"/>
      </w:pPr>
      <w:r>
        <w:rPr>
          <w:rFonts w:ascii="Arial" w:cs="Arial" w:eastAsia="Arial" w:hAnsi="Arial"/>
          <w:sz w:val="22"/>
          <w:szCs w:val="22"/>
        </w:rPr>
        <w:t xml:space="preserve">La DSI a retenu Microsoft SPMT comme outil principal de migration. Cet outil gratuit supporte la migration de bibliothèques de documents, listes, pages wiki et pages de publication. Les flux de travail SharePoint Designer ne sont pas migrés par SPMT et doivent être reconstruits en Power Automate.</w:t>
      </w:r>
    </w:p>
    <w:p>
      <w:r>
        <w:t xml:space="preserve"/>
      </w:r>
    </w:p>
    <w:p>
      <w:pPr>
        <w:pStyle w:val="Heading2"/>
        <w:spacing w:after="120" w:before="240"/>
      </w:pPr>
      <w:r>
        <w:rPr>
          <w:rFonts w:ascii="Arial" w:cs="Arial" w:eastAsia="Arial" w:hAnsi="Arial"/>
          <w:b/>
          <w:bCs/>
          <w:sz w:val="26"/>
          <w:szCs w:val="26"/>
        </w:rPr>
        <w:t xml:space="preserve">2.2 Phases du projet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1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Périmètre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et cartographie des sites existants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 – Fév 2025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Terminé</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Migration sites pilotes (5 sites RH)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 – Avr 2025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 cours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 vague 1 : sites Finance (120 sites)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 – Juil 2025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Migration vague 2 : sites Commercial (210 sites)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Aoû – Oct 2025</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Migration vague 3 : sites Technique + projets (512 sites)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 2025 – Avr 2026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Décommissionnement ferme on-premise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 – Jun 2026</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Planifié</w:t>
            </w:r>
          </w:p>
        </w:tc>
      </w:tr>
    </w:tbl>
    <w:p>
      <w:r>
        <w:t xml:space="preserve"/>
      </w:r>
    </w:p>
    <w:p>
      <w:pPr>
        <w:pStyle w:val="Heading1"/>
        <w:spacing w:after="150" w:before="300"/>
      </w:pPr>
      <w:r>
        <w:rPr>
          <w:rFonts w:ascii="Arial" w:cs="Arial" w:eastAsia="Arial" w:hAnsi="Arial"/>
          <w:b/>
          <w:bCs/>
          <w:sz w:val="32"/>
          <w:szCs w:val="32"/>
        </w:rPr>
        <w:t xml:space="preserve">3. Prérequis techniques</w:t>
      </w:r>
    </w:p>
    <w:p>
      <w:pPr>
        <w:pStyle w:val="Heading2"/>
        <w:spacing w:after="120" w:before="240"/>
      </w:pPr>
      <w:r>
        <w:rPr>
          <w:rFonts w:ascii="Arial" w:cs="Arial" w:eastAsia="Arial" w:hAnsi="Arial"/>
          <w:b/>
          <w:bCs/>
          <w:sz w:val="26"/>
          <w:szCs w:val="26"/>
        </w:rPr>
        <w:t xml:space="preserve">3.1 Côté source (SharePoint 2019)</w:t>
      </w:r>
    </w:p>
    <w:p>
      <w:pPr>
        <w:pStyle w:val="ListParagraph"/>
        <w:numPr>
          <w:ilvl w:val="0"/>
          <w:numId w:val="2"/>
        </w:numPr>
        <w:spacing w:after="40" w:before="40"/>
      </w:pPr>
      <w:r>
        <w:rPr>
          <w:rFonts w:ascii="Arial" w:cs="Arial" w:eastAsia="Arial" w:hAnsi="Arial"/>
          <w:sz w:val="22"/>
          <w:szCs w:val="22"/>
        </w:rPr>
        <w:t xml:space="preserve">Niveau de patch minimum : SharePoint 2019 CU de septembre 2024</w:t>
      </w:r>
    </w:p>
    <w:p>
      <w:pPr>
        <w:pStyle w:val="ListParagraph"/>
        <w:numPr>
          <w:ilvl w:val="0"/>
          <w:numId w:val="2"/>
        </w:numPr>
        <w:spacing w:after="40" w:before="40"/>
      </w:pPr>
      <w:r>
        <w:rPr>
          <w:rFonts w:ascii="Arial" w:cs="Arial" w:eastAsia="Arial" w:hAnsi="Arial"/>
          <w:sz w:val="22"/>
          <w:szCs w:val="22"/>
        </w:rPr>
        <w:t xml:space="preserve">Agent SPMT installé sur un serveur Windows Server 2019 ou supérieur</w:t>
      </w:r>
    </w:p>
    <w:p>
      <w:pPr>
        <w:pStyle w:val="ListParagraph"/>
        <w:numPr>
          <w:ilvl w:val="0"/>
          <w:numId w:val="2"/>
        </w:numPr>
        <w:spacing w:after="40" w:before="40"/>
      </w:pPr>
      <w:r>
        <w:rPr>
          <w:rFonts w:ascii="Arial" w:cs="Arial" w:eastAsia="Arial" w:hAnsi="Arial"/>
          <w:sz w:val="22"/>
          <w:szCs w:val="22"/>
        </w:rPr>
        <w:t xml:space="preserve">Compte de service avec droits Administrateur de collection de sites sur les sites à migrer</w:t>
      </w:r>
    </w:p>
    <w:p>
      <w:pPr>
        <w:pStyle w:val="ListParagraph"/>
        <w:numPr>
          <w:ilvl w:val="0"/>
          <w:numId w:val="2"/>
        </w:numPr>
        <w:spacing w:after="40" w:before="40"/>
      </w:pPr>
      <w:r>
        <w:rPr>
          <w:rFonts w:ascii="Arial" w:cs="Arial" w:eastAsia="Arial" w:hAnsi="Arial"/>
          <w:sz w:val="22"/>
          <w:szCs w:val="22"/>
        </w:rPr>
        <w:t xml:space="preserve">Accès réseau HTTPS sortant vers *.sharepoint.com et *.microsoft.com</w:t>
      </w:r>
    </w:p>
    <w:p>
      <w:r>
        <w:t xml:space="preserve"/>
      </w:r>
    </w:p>
    <w:p>
      <w:pPr>
        <w:pStyle w:val="Heading2"/>
        <w:spacing w:after="120" w:before="240"/>
      </w:pPr>
      <w:r>
        <w:rPr>
          <w:rFonts w:ascii="Arial" w:cs="Arial" w:eastAsia="Arial" w:hAnsi="Arial"/>
          <w:b/>
          <w:bCs/>
          <w:sz w:val="26"/>
          <w:szCs w:val="26"/>
        </w:rPr>
        <w:t xml:space="preserve">3.2 Côté destination (SharePoint Online)</w:t>
      </w:r>
    </w:p>
    <w:p>
      <w:pPr>
        <w:pStyle w:val="ListParagraph"/>
        <w:numPr>
          <w:ilvl w:val="0"/>
          <w:numId w:val="2"/>
        </w:numPr>
        <w:spacing w:after="40" w:before="40"/>
      </w:pPr>
      <w:r>
        <w:rPr>
          <w:rFonts w:ascii="Arial" w:cs="Arial" w:eastAsia="Arial" w:hAnsi="Arial"/>
          <w:sz w:val="22"/>
          <w:szCs w:val="22"/>
        </w:rPr>
        <w:t xml:space="preserve">Licences Microsoft 365 E3 minimum pour tous les utilisateurs migrés</w:t>
      </w:r>
    </w:p>
    <w:p>
      <w:pPr>
        <w:pStyle w:val="ListParagraph"/>
        <w:numPr>
          <w:ilvl w:val="0"/>
          <w:numId w:val="2"/>
        </w:numPr>
        <w:spacing w:after="40" w:before="40"/>
      </w:pPr>
      <w:r>
        <w:rPr>
          <w:rFonts w:ascii="Arial" w:cs="Arial" w:eastAsia="Arial" w:hAnsi="Arial"/>
          <w:sz w:val="22"/>
          <w:szCs w:val="22"/>
        </w:rPr>
        <w:t xml:space="preserve">Administrateur SharePoint Online pour le compte de migration</w:t>
      </w:r>
    </w:p>
    <w:p>
      <w:pPr>
        <w:pStyle w:val="ListParagraph"/>
        <w:numPr>
          <w:ilvl w:val="0"/>
          <w:numId w:val="2"/>
        </w:numPr>
        <w:spacing w:after="40" w:before="40"/>
      </w:pPr>
      <w:r>
        <w:rPr>
          <w:rFonts w:ascii="Arial" w:cs="Arial" w:eastAsia="Arial" w:hAnsi="Arial"/>
          <w:sz w:val="22"/>
          <w:szCs w:val="22"/>
        </w:rPr>
        <w:t xml:space="preserve">Sites de destination pre-provisionnés avec la structure de gouvernance cible</w:t>
      </w:r>
    </w:p>
    <w:p>
      <w:r>
        <w:t xml:space="preserve"/>
      </w:r>
    </w:p>
    <w:p>
      <w:pPr>
        <w:pStyle w:val="Heading1"/>
        <w:spacing w:after="150" w:before="300"/>
      </w:pPr>
      <w:r>
        <w:rPr>
          <w:rFonts w:ascii="Arial" w:cs="Arial" w:eastAsia="Arial" w:hAnsi="Arial"/>
          <w:b/>
          <w:bCs/>
          <w:sz w:val="32"/>
          <w:szCs w:val="32"/>
        </w:rPr>
        <w:t xml:space="preserve">4. Gestion des personnalisations</w:t>
      </w:r>
    </w:p>
    <w:p>
      <w:pPr>
        <w:spacing w:after="80" w:before="80"/>
      </w:pPr>
      <w:r>
        <w:rPr>
          <w:rFonts w:ascii="Arial" w:cs="Arial" w:eastAsia="Arial" w:hAnsi="Arial"/>
          <w:sz w:val="22"/>
          <w:szCs w:val="22"/>
        </w:rPr>
        <w:t xml:space="preserve">L'audit de la phase 0 a identifié 43 sites comportant des personnalisations spécifiques (SharePoint Designer workflows, webparts custom, pages InfoPath). Ces sites font l'objet d'un traitement spécifique :</w:t>
      </w:r>
    </w:p>
    <w:p>
      <w:pPr>
        <w:pStyle w:val="ListParagraph"/>
        <w:numPr>
          <w:ilvl w:val="0"/>
          <w:numId w:val="3"/>
        </w:numPr>
        <w:spacing w:after="40" w:before="40"/>
      </w:pPr>
      <w:r>
        <w:rPr>
          <w:rFonts w:ascii="Arial" w:cs="Arial" w:eastAsia="Arial" w:hAnsi="Arial"/>
          <w:sz w:val="22"/>
          <w:szCs w:val="22"/>
        </w:rPr>
        <w:t xml:space="preserve">Inventaire détaillé des fonctionnalités personnalisées</w:t>
      </w:r>
    </w:p>
    <w:p>
      <w:pPr>
        <w:pStyle w:val="ListParagraph"/>
        <w:numPr>
          <w:ilvl w:val="0"/>
          <w:numId w:val="3"/>
        </w:numPr>
        <w:spacing w:after="40" w:before="40"/>
      </w:pPr>
      <w:r>
        <w:rPr>
          <w:rFonts w:ascii="Arial" w:cs="Arial" w:eastAsia="Arial" w:hAnsi="Arial"/>
          <w:sz w:val="22"/>
          <w:szCs w:val="22"/>
        </w:rPr>
        <w:t xml:space="preserve">Analyse de substituabilité avec les outils natifs M365 (Power Automate, Power Apps, SPFx)</w:t>
      </w:r>
    </w:p>
    <w:p>
      <w:pPr>
        <w:pStyle w:val="ListParagraph"/>
        <w:numPr>
          <w:ilvl w:val="0"/>
          <w:numId w:val="3"/>
        </w:numPr>
        <w:spacing w:after="40" w:before="40"/>
      </w:pPr>
      <w:r>
        <w:rPr>
          <w:rFonts w:ascii="Arial" w:cs="Arial" w:eastAsia="Arial" w:hAnsi="Arial"/>
          <w:sz w:val="22"/>
          <w:szCs w:val="22"/>
        </w:rPr>
        <w:t xml:space="preserve">Développement des solutions de remplacement avant la migration</w:t>
      </w:r>
    </w:p>
    <w:p>
      <w:pPr>
        <w:pStyle w:val="ListParagraph"/>
        <w:numPr>
          <w:ilvl w:val="0"/>
          <w:numId w:val="3"/>
        </w:numPr>
        <w:spacing w:after="40" w:before="40"/>
      </w:pPr>
      <w:r>
        <w:rPr>
          <w:rFonts w:ascii="Arial" w:cs="Arial" w:eastAsia="Arial" w:hAnsi="Arial"/>
          <w:sz w:val="22"/>
          <w:szCs w:val="22"/>
        </w:rPr>
        <w:t xml:space="preserve">Tests de recette avec les utilisateurs clés</w:t>
      </w:r>
    </w:p>
    <w:p>
      <w:pPr>
        <w:pStyle w:val="ListParagraph"/>
        <w:numPr>
          <w:ilvl w:val="0"/>
          <w:numId w:val="3"/>
        </w:numPr>
        <w:spacing w:after="40" w:before="40"/>
      </w:pPr>
      <w:r>
        <w:rPr>
          <w:rFonts w:ascii="Arial" w:cs="Arial" w:eastAsia="Arial" w:hAnsi="Arial"/>
          <w:sz w:val="22"/>
          <w:szCs w:val="22"/>
        </w:rPr>
        <w:t xml:space="preserve">Migration et validation</w:t>
      </w:r>
    </w:p>
    <w:p>
      <w:r>
        <w:t xml:space="preserve"/>
      </w:r>
    </w:p>
    <w:p>
      <w:pPr>
        <w:pStyle w:val="Heading1"/>
        <w:spacing w:after="150" w:before="300"/>
      </w:pPr>
      <w:r>
        <w:rPr>
          <w:rFonts w:ascii="Arial" w:cs="Arial" w:eastAsia="Arial" w:hAnsi="Arial"/>
          <w:b/>
          <w:bCs/>
          <w:sz w:val="32"/>
          <w:szCs w:val="32"/>
        </w:rPr>
        <w:t xml:space="preserve">5. Plan de communication et accompagnement</w:t>
      </w:r>
    </w:p>
    <w:p>
      <w:pPr>
        <w:spacing w:after="80" w:before="80"/>
      </w:pPr>
      <w:r>
        <w:rPr>
          <w:rFonts w:ascii="Arial" w:cs="Arial" w:eastAsia="Arial" w:hAnsi="Arial"/>
          <w:sz w:val="22"/>
          <w:szCs w:val="22"/>
        </w:rPr>
        <w:t xml:space="preserve">Un plan de change management est déployé en parallèle de la migration technique. Chaque vague de migration est précédée de 4 semaines de communication aux utilisateurs impactés, de sessions de formation de 2 heures par groupe de 15 personnes maximum, et d'un support renforcé pendant les 2 semaines suivant la bascule.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F5E5A"/>
        <w:sz w:val="18"/>
        <w:szCs w:val="18"/>
      </w:rPr>
      <w:t xml:space="preserve">Guide de migration SharePoint 2019 vers SharePoint Online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2026-04-01T11:46:53.190Z</dcterms:created>
  <dcterms:modified xsi:type="dcterms:W3CDTF">2026-04-01T11:46:53.190Z</dcterms:modified>
</cp:coreProperties>
</file>

<file path=docProps/custom.xml><?xml version="1.0" encoding="utf-8"?>
<Properties xmlns="http://schemas.openxmlformats.org/officeDocument/2006/custom-properties" xmlns:vt="http://schemas.openxmlformats.org/officeDocument/2006/docPropsVTypes"/>
</file>