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Charte de nommage SharePoint Online</w:t>
      </w:r>
    </w:p>
    <w:p>
      <w:pPr>
        <w:spacing w:after="400" w:before="0"/>
      </w:pPr>
      <w:r>
        <w:rPr>
          <w:rFonts w:ascii="Arial" w:cs="Arial" w:eastAsia="Arial" w:hAnsi="Arial"/>
          <w:color w:val="5F5E5A"/>
          <w:sz w:val="20"/>
          <w:szCs w:val="20"/>
        </w:rPr>
        <w:t xml:space="preserve">Version 1.4 — Février 2025 — DSI Groupe Horizon</w:t>
      </w:r>
    </w:p>
    <w:p>
      <w:pPr>
        <w:pStyle w:val="Heading1"/>
        <w:spacing w:after="150" w:before="300"/>
      </w:pPr>
      <w:r>
        <w:rPr>
          <w:rFonts w:ascii="Arial" w:cs="Arial" w:eastAsia="Arial" w:hAnsi="Arial"/>
          <w:b/>
          <w:bCs/>
          <w:sz w:val="32"/>
          <w:szCs w:val="32"/>
        </w:rPr>
        <w:t xml:space="preserve">1. Objectifs de la charte</w:t>
      </w:r>
    </w:p>
    <w:p>
      <w:pPr>
        <w:spacing w:after="80" w:before="80"/>
      </w:pPr>
      <w:r>
        <w:rPr>
          <w:rFonts w:ascii="Arial" w:cs="Arial" w:eastAsia="Arial" w:hAnsi="Arial"/>
          <w:sz w:val="22"/>
          <w:szCs w:val="22"/>
        </w:rPr>
        <w:t xml:space="preserve">La charte de nommage garantit la cohérence, la lisibilité et la gouvernabilité de l'ensemble des ressources SharePoint Online du Groupe Horizon. Elle s'applique aux URL de sites, aux noms de bibliothèques, aux colonnes de site et aux groupes de sécurité associés.</w:t>
      </w:r>
    </w:p>
    <w:p>
      <w:r>
        <w:t xml:space="preserve"/>
      </w:r>
    </w:p>
    <w:p>
      <w:pPr>
        <w:pStyle w:val="Heading1"/>
        <w:spacing w:after="150" w:before="300"/>
      </w:pPr>
      <w:r>
        <w:rPr>
          <w:rFonts w:ascii="Arial" w:cs="Arial" w:eastAsia="Arial" w:hAnsi="Arial"/>
          <w:b/>
          <w:bCs/>
          <w:sz w:val="32"/>
          <w:szCs w:val="32"/>
        </w:rPr>
        <w:t xml:space="preserve">2. Convention de nommage des sites</w:t>
      </w:r>
    </w:p>
    <w:p>
      <w:pPr>
        <w:pStyle w:val="Heading2"/>
        <w:spacing w:after="120" w:before="240"/>
      </w:pPr>
      <w:r>
        <w:rPr>
          <w:rFonts w:ascii="Arial" w:cs="Arial" w:eastAsia="Arial" w:hAnsi="Arial"/>
          <w:b/>
          <w:bCs/>
          <w:sz w:val="26"/>
          <w:szCs w:val="26"/>
        </w:rPr>
        <w:t xml:space="preserve">2.1 Structure des URL</w:t>
      </w:r>
    </w:p>
    <w:p>
      <w:pPr>
        <w:spacing w:after="80" w:before="80"/>
      </w:pPr>
      <w:r>
        <w:rPr>
          <w:rFonts w:ascii="Arial" w:cs="Arial" w:eastAsia="Arial" w:hAnsi="Arial"/>
          <w:sz w:val="22"/>
          <w:szCs w:val="22"/>
        </w:rPr>
        <w:t xml:space="preserve">Toutes les URL de sites SharePoint Online respectent la structure suivante :</w:t>
      </w:r>
    </w:p>
    <w:p>
      <w:pPr>
        <w:spacing w:after="80" w:before="80"/>
      </w:pPr>
      <w:r>
        <w:rPr>
          <w:rFonts w:ascii="Courier New" w:cs="Courier New" w:eastAsia="Courier New" w:hAnsi="Courier New"/>
          <w:sz w:val="20"/>
          <w:szCs w:val="20"/>
        </w:rPr>
        <w:t xml:space="preserve">https://horizongroupe.sharepoint.com/sites/[DIVISION]-[DEPARTEMENT]-[OBJET]</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1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Exemples</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Caractères max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DIVISION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lettres majuscules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 RHU, COM, TEC, DIG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DEPARTEMENT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 à 6 lettres minuscules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compta, paie, achat, projet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 descriptif minuscules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budget2025, contrats, intranet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r>
    </w:tbl>
    <w:p>
      <w:r>
        <w:t xml:space="preserve"/>
      </w:r>
    </w:p>
    <w:p>
      <w:pPr>
        <w:spacing w:after="80" w:before="80"/>
      </w:pPr>
      <w:r>
        <w:rPr>
          <w:rFonts w:ascii="Arial" w:cs="Arial" w:eastAsia="Arial" w:hAnsi="Arial"/>
          <w:sz w:val="22"/>
          <w:szCs w:val="22"/>
        </w:rPr>
        <w:t xml:space="preserve">Exemples d'URL conformes :</w:t>
      </w:r>
    </w:p>
    <w:p>
      <w:pPr>
        <w:pStyle w:val="ListParagraph"/>
        <w:numPr>
          <w:ilvl w:val="0"/>
          <w:numId w:val="2"/>
        </w:numPr>
        <w:spacing w:after="40" w:before="40"/>
      </w:pPr>
      <w:r>
        <w:rPr>
          <w:rFonts w:ascii="Arial" w:cs="Arial" w:eastAsia="Arial" w:hAnsi="Arial"/>
          <w:sz w:val="22"/>
          <w:szCs w:val="22"/>
        </w:rPr>
        <w:t xml:space="preserve">https://horizongroupe.sharepoint.com/sites/FIN-compta-budget2025</w:t>
      </w:r>
    </w:p>
    <w:p>
      <w:pPr>
        <w:pStyle w:val="ListParagraph"/>
        <w:numPr>
          <w:ilvl w:val="0"/>
          <w:numId w:val="2"/>
        </w:numPr>
        <w:spacing w:after="40" w:before="40"/>
      </w:pPr>
      <w:r>
        <w:rPr>
          <w:rFonts w:ascii="Arial" w:cs="Arial" w:eastAsia="Arial" w:hAnsi="Arial"/>
          <w:sz w:val="22"/>
          <w:szCs w:val="22"/>
        </w:rPr>
        <w:t xml:space="preserve">https://horizongroupe.sharepoint.com/sites/RHU-paie-conventions</w:t>
      </w:r>
    </w:p>
    <w:p>
      <w:pPr>
        <w:pStyle w:val="ListParagraph"/>
        <w:numPr>
          <w:ilvl w:val="0"/>
          <w:numId w:val="2"/>
        </w:numPr>
        <w:spacing w:after="40" w:before="40"/>
      </w:pPr>
      <w:r>
        <w:rPr>
          <w:rFonts w:ascii="Arial" w:cs="Arial" w:eastAsia="Arial" w:hAnsi="Arial"/>
          <w:sz w:val="22"/>
          <w:szCs w:val="22"/>
        </w:rPr>
        <w:t xml:space="preserve">https://horizongroupe.sharepoint.com/sites/TEC-projet-migrationSPO</w:t>
      </w:r>
    </w:p>
    <w:p>
      <w:r>
        <w:t xml:space="preserve"/>
      </w:r>
    </w:p>
    <w:p>
      <w:pPr>
        <w:pStyle w:val="Heading2"/>
        <w:spacing w:after="120" w:before="240"/>
      </w:pPr>
      <w:r>
        <w:rPr>
          <w:rFonts w:ascii="Arial" w:cs="Arial" w:eastAsia="Arial" w:hAnsi="Arial"/>
          <w:b/>
          <w:bCs/>
          <w:sz w:val="26"/>
          <w:szCs w:val="26"/>
        </w:rPr>
        <w:t xml:space="preserve">2.2 Caractères interdits dans les URL</w:t>
      </w:r>
    </w:p>
    <w:p>
      <w:pPr>
        <w:spacing w:after="80" w:before="80"/>
      </w:pPr>
      <w:r>
        <w:rPr>
          <w:rFonts w:ascii="Arial" w:cs="Arial" w:eastAsia="Arial" w:hAnsi="Arial"/>
          <w:sz w:val="22"/>
          <w:szCs w:val="22"/>
        </w:rPr>
        <w:t xml:space="preserve">Les caractères suivants sont interdits dans toute URL de site : espaces, accents, caractères spéciaux (#, %, &amp;, +). Les tirets (-) sont utilisés comme séparateurs de segments. Les underscores (_) sont tolérés uniquement dans le segment OBJET.</w:t>
      </w:r>
    </w:p>
    <w:p>
      <w:r>
        <w:t xml:space="preserve"/>
      </w:r>
    </w:p>
    <w:p>
      <w:pPr>
        <w:pStyle w:val="Heading1"/>
        <w:spacing w:after="150" w:before="300"/>
      </w:pPr>
      <w:r>
        <w:rPr>
          <w:rFonts w:ascii="Arial" w:cs="Arial" w:eastAsia="Arial" w:hAnsi="Arial"/>
          <w:b/>
          <w:bCs/>
          <w:sz w:val="32"/>
          <w:szCs w:val="32"/>
        </w:rPr>
        <w:t xml:space="preserve">3. Convention de nommage des bibliothèques</w:t>
      </w:r>
    </w:p>
    <w:p>
      <w:pPr>
        <w:spacing w:after="80" w:before="80"/>
      </w:pPr>
      <w:r>
        <w:rPr>
          <w:rFonts w:ascii="Arial" w:cs="Arial" w:eastAsia="Arial" w:hAnsi="Arial"/>
          <w:sz w:val="22"/>
          <w:szCs w:val="22"/>
        </w:rPr>
        <w:t xml:space="preserve">Les bibliothèques de documents sont nommées selon les règles suivantes :</w:t>
      </w:r>
    </w:p>
    <w:p>
      <w:pPr>
        <w:pStyle w:val="ListParagraph"/>
        <w:numPr>
          <w:ilvl w:val="0"/>
          <w:numId w:val="2"/>
        </w:numPr>
        <w:spacing w:after="40" w:before="40"/>
      </w:pPr>
      <w:r>
        <w:rPr>
          <w:rFonts w:ascii="Arial" w:cs="Arial" w:eastAsia="Arial" w:hAnsi="Arial"/>
          <w:sz w:val="22"/>
          <w:szCs w:val="22"/>
        </w:rPr>
        <w:t xml:space="preserve">Nom en français, avec majuscule initiale uniquement</w:t>
      </w:r>
    </w:p>
    <w:p>
      <w:pPr>
        <w:pStyle w:val="ListParagraph"/>
        <w:numPr>
          <w:ilvl w:val="0"/>
          <w:numId w:val="2"/>
        </w:numPr>
        <w:spacing w:after="40" w:before="40"/>
      </w:pPr>
      <w:r>
        <w:rPr>
          <w:rFonts w:ascii="Arial" w:cs="Arial" w:eastAsia="Arial" w:hAnsi="Arial"/>
          <w:sz w:val="22"/>
          <w:szCs w:val="22"/>
        </w:rPr>
        <w:t xml:space="preserve">Sans article défini en debut (pas de 'Les', 'Des', 'Les')</w:t>
      </w:r>
    </w:p>
    <w:p>
      <w:pPr>
        <w:pStyle w:val="ListParagraph"/>
        <w:numPr>
          <w:ilvl w:val="0"/>
          <w:numId w:val="2"/>
        </w:numPr>
        <w:spacing w:after="40" w:before="40"/>
      </w:pPr>
      <w:r>
        <w:rPr>
          <w:rFonts w:ascii="Arial" w:cs="Arial" w:eastAsia="Arial" w:hAnsi="Arial"/>
          <w:sz w:val="22"/>
          <w:szCs w:val="22"/>
        </w:rPr>
        <w:t xml:space="preserve">Maximum 50 caractères</w:t>
      </w:r>
    </w:p>
    <w:p>
      <w:pPr>
        <w:pStyle w:val="ListParagraph"/>
        <w:numPr>
          <w:ilvl w:val="0"/>
          <w:numId w:val="2"/>
        </w:numPr>
        <w:spacing w:after="40" w:before="40"/>
      </w:pPr>
      <w:r>
        <w:rPr>
          <w:rFonts w:ascii="Arial" w:cs="Arial" w:eastAsia="Arial" w:hAnsi="Arial"/>
          <w:sz w:val="22"/>
          <w:szCs w:val="22"/>
        </w:rPr>
        <w:t xml:space="preserve">Pas d'acronyme sans explication dans la description de la bibliothèque</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Conforme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Non conforme</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Raison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Contrats fournisseurs 2025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 contrats des fournisseurs 2025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Article défini interdit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Comptes-rendus COMEX</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 COMEX</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Acronyme sans explication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Budgets division Finance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BUDGETS_DIVISION_FINANCE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Majuscules et underscores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Documentation technique API</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 tech API v2 final FINAL</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Vague et redondant</w:t>
            </w:r>
          </w:p>
        </w:tc>
      </w:tr>
    </w:tbl>
    <w:p>
      <w:r>
        <w:t xml:space="preserve"/>
      </w:r>
    </w:p>
    <w:p>
      <w:pPr>
        <w:pStyle w:val="Heading1"/>
        <w:spacing w:after="150" w:before="300"/>
      </w:pPr>
      <w:r>
        <w:rPr>
          <w:rFonts w:ascii="Arial" w:cs="Arial" w:eastAsia="Arial" w:hAnsi="Arial"/>
          <w:b/>
          <w:bCs/>
          <w:sz w:val="32"/>
          <w:szCs w:val="32"/>
        </w:rPr>
        <w:t xml:space="preserve">4. Convention de nommage des colonnes de site</w:t>
      </w:r>
    </w:p>
    <w:p>
      <w:pPr>
        <w:spacing w:after="80" w:before="80"/>
      </w:pPr>
      <w:r>
        <w:rPr>
          <w:rFonts w:ascii="Arial" w:cs="Arial" w:eastAsia="Arial" w:hAnsi="Arial"/>
          <w:sz w:val="22"/>
          <w:szCs w:val="22"/>
        </w:rPr>
        <w:t xml:space="preserve">Les colonnes de site créées au niveau du tenant ou d'un site hub doivent respecter un préfixe indiquant leur périmètre d'application :</w:t>
      </w:r>
    </w:p>
    <w:p>
      <w:pPr>
        <w:pStyle w:val="ListParagraph"/>
        <w:numPr>
          <w:ilvl w:val="0"/>
          <w:numId w:val="2"/>
        </w:numPr>
        <w:spacing w:after="40" w:before="40"/>
      </w:pPr>
      <w:r>
        <w:rPr>
          <w:rFonts w:ascii="Arial" w:cs="Arial" w:eastAsia="Arial" w:hAnsi="Arial"/>
          <w:sz w:val="22"/>
          <w:szCs w:val="22"/>
        </w:rPr>
        <w:t xml:space="preserve">GRP_ : colonne globale applicable à tout le tenant</w:t>
      </w:r>
    </w:p>
    <w:p>
      <w:pPr>
        <w:pStyle w:val="ListParagraph"/>
        <w:numPr>
          <w:ilvl w:val="0"/>
          <w:numId w:val="2"/>
        </w:numPr>
        <w:spacing w:after="40" w:before="40"/>
      </w:pPr>
      <w:r>
        <w:rPr>
          <w:rFonts w:ascii="Arial" w:cs="Arial" w:eastAsia="Arial" w:hAnsi="Arial"/>
          <w:sz w:val="22"/>
          <w:szCs w:val="22"/>
        </w:rPr>
        <w:t xml:space="preserve">FIN_ : colonne spécifique à la division Finance</w:t>
      </w:r>
    </w:p>
    <w:p>
      <w:pPr>
        <w:pStyle w:val="ListParagraph"/>
        <w:numPr>
          <w:ilvl w:val="0"/>
          <w:numId w:val="2"/>
        </w:numPr>
        <w:spacing w:after="40" w:before="40"/>
      </w:pPr>
      <w:r>
        <w:rPr>
          <w:rFonts w:ascii="Arial" w:cs="Arial" w:eastAsia="Arial" w:hAnsi="Arial"/>
          <w:sz w:val="22"/>
          <w:szCs w:val="22"/>
        </w:rPr>
        <w:t xml:space="preserve">RHU_ : colonne spécifique à la division RH</w:t>
      </w:r>
    </w:p>
    <w:p>
      <w:pPr>
        <w:pStyle w:val="ListParagraph"/>
        <w:numPr>
          <w:ilvl w:val="0"/>
          <w:numId w:val="2"/>
        </w:numPr>
        <w:spacing w:after="40" w:before="40"/>
      </w:pPr>
      <w:r>
        <w:rPr>
          <w:rFonts w:ascii="Arial" w:cs="Arial" w:eastAsia="Arial" w:hAnsi="Arial"/>
          <w:sz w:val="22"/>
          <w:szCs w:val="22"/>
        </w:rPr>
        <w:t xml:space="preserve">COM_ : colonne spécifique à la division Commerce</w:t>
      </w:r>
    </w:p>
    <w:p>
      <w:pPr>
        <w:pStyle w:val="ListParagraph"/>
        <w:numPr>
          <w:ilvl w:val="0"/>
          <w:numId w:val="2"/>
        </w:numPr>
        <w:spacing w:after="40" w:before="40"/>
      </w:pPr>
      <w:r>
        <w:rPr>
          <w:rFonts w:ascii="Arial" w:cs="Arial" w:eastAsia="Arial" w:hAnsi="Arial"/>
          <w:sz w:val="22"/>
          <w:szCs w:val="22"/>
        </w:rPr>
        <w:t xml:space="preserve">TEC_ : colonne spécifique à la division Technique</w:t>
      </w:r>
    </w:p>
    <w:p>
      <w:r>
        <w:t xml:space="preserve"/>
      </w:r>
    </w:p>
    <w:p>
      <w:pPr>
        <w:spacing w:after="80" w:before="80"/>
      </w:pPr>
      <w:r>
        <w:rPr>
          <w:rFonts w:ascii="Arial" w:cs="Arial" w:eastAsia="Arial" w:hAnsi="Arial"/>
          <w:sz w:val="22"/>
          <w:szCs w:val="22"/>
        </w:rPr>
        <w:t xml:space="preserve">Exemples : GRP_Statut_document, FIN_Code_analytique, RHU_Matricule_employe</w:t>
      </w:r>
    </w:p>
    <w:p>
      <w:r>
        <w:t xml:space="preserve"/>
      </w:r>
    </w:p>
    <w:p>
      <w:pPr>
        <w:pStyle w:val="Heading1"/>
        <w:spacing w:after="150" w:before="300"/>
      </w:pPr>
      <w:r>
        <w:rPr>
          <w:rFonts w:ascii="Arial" w:cs="Arial" w:eastAsia="Arial" w:hAnsi="Arial"/>
          <w:b/>
          <w:bCs/>
          <w:sz w:val="32"/>
          <w:szCs w:val="32"/>
        </w:rPr>
        <w:t xml:space="preserve">5. Processus de validation</w:t>
      </w:r>
    </w:p>
    <w:p>
      <w:pPr>
        <w:spacing w:after="80" w:before="80"/>
      </w:pPr>
      <w:r>
        <w:rPr>
          <w:rFonts w:ascii="Arial" w:cs="Arial" w:eastAsia="Arial" w:hAnsi="Arial"/>
          <w:sz w:val="22"/>
          <w:szCs w:val="22"/>
        </w:rPr>
        <w:t xml:space="preserve">Toute création de site, bibliothèque ou colonne de site doit faire l'objet d'une validation par l'équipe Gouvernance M365 avant mise en production. Le formulaire de demande est disponible sur le site intranet dans la section 'Services DSI &gt; SharePoint'. Le délai de traitement est de 3 jours ouvrés.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F5E5A"/>
        <w:sz w:val="18"/>
        <w:szCs w:val="18"/>
      </w:rPr>
      <w:t xml:space="preserve">Page </w:t>
    </w:r>
    <w:r>
      <w:rPr>
        <w:rFonts w:ascii="Arial" w:cs="Arial" w:eastAsia="Arial" w:hAnsi="Arial"/>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F5E5A"/>
        <w:sz w:val="18"/>
        <w:szCs w:val="18"/>
      </w:rPr>
      <w:t xml:space="preserve">Charte de nommage SharePoint Online — Groupe Horizon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2026-04-01T11:46:53.196Z</dcterms:created>
  <dcterms:modified xsi:type="dcterms:W3CDTF">2026-04-01T11:46:53.196Z</dcterms:modified>
</cp:coreProperties>
</file>

<file path=docProps/custom.xml><?xml version="1.0" encoding="utf-8"?>
<Properties xmlns="http://schemas.openxmlformats.org/officeDocument/2006/custom-properties" xmlns:vt="http://schemas.openxmlformats.org/officeDocument/2006/docPropsVTypes"/>
</file>