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4E79"/>
          <w:sz w:val="52"/>
          <w:szCs w:val="52"/>
        </w:rPr>
        <w:t xml:space="preserve">POLITIQUE RH</w:t>
      </w:r>
    </w:p>
    <w:p>
      <w:pPr>
        <w:spacing w:after="80" w:before="80"/>
        <w:jc w:val="center"/>
      </w:pPr>
      <w:r>
        <w:rPr>
          <w:rFonts w:ascii="Arial" w:cs="Arial" w:eastAsia="Arial" w:hAnsi="Arial"/>
          <w:b/>
          <w:bCs/>
          <w:color w:val="2E75B6"/>
          <w:sz w:val="36"/>
          <w:szCs w:val="36"/>
        </w:rPr>
        <w:t xml:space="preserve">GROUPE HORIZON</w:t>
      </w:r>
    </w:p>
    <w:p>
      <w:pPr>
        <w:spacing w:after="80" w:before="240"/>
        <w:jc w:val="center"/>
      </w:pPr>
      <w:r>
        <w:rPr>
          <w:rFonts w:ascii="Arial" w:cs="Arial" w:eastAsia="Arial" w:hAnsi="Arial"/>
          <w:color w:val="666666"/>
          <w:sz w:val="22"/>
          <w:szCs w:val="22"/>
        </w:rPr>
        <w:t xml:space="preserve">Version 2.1 — Janvier 2025</w:t>
      </w:r>
    </w:p>
    <w:p>
      <w:pPr>
        <w:spacing w:after="40" w:before="40"/>
        <w:jc w:val="center"/>
      </w:pPr>
      <w:r>
        <w:rPr>
          <w:rFonts w:ascii="Arial" w:cs="Arial" w:eastAsia="Arial" w:hAnsi="Arial"/>
          <w:color w:val="666666"/>
          <w:sz w:val="22"/>
          <w:szCs w:val="22"/>
        </w:rPr>
        <w:t xml:space="preserve">Direction des Ressources Humaines</w:t>
      </w:r>
    </w:p>
    <w:p>
      <w:pPr>
        <w:spacing w:after="480" w:before="40"/>
        <w:jc w:val="center"/>
      </w:pPr>
      <w:r>
        <w:rPr>
          <w:rFonts w:ascii="Arial" w:cs="Arial" w:eastAsia="Arial" w:hAnsi="Arial"/>
          <w:i/>
          <w:iCs/>
          <w:color w:val="888888"/>
          <w:sz w:val="20"/>
          <w:szCs w:val="20"/>
        </w:rPr>
        <w:t xml:space="preserve">Document confidentiel — Usage interne uniquement</w:t>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1F4E79"/>
          <w:sz w:val="28"/>
          <w:szCs w:val="28"/>
        </w:rPr>
        <w:t xml:space="preserve">1. Remboursement des frais professionnels</w:t>
      </w:r>
    </w:p>
    <w:p>
      <w:pPr>
        <w:spacing w:after="60" w:before="60"/>
      </w:pPr>
      <w:r>
        <w:rPr>
          <w:rFonts w:ascii="Arial" w:cs="Arial" w:eastAsia="Arial" w:hAnsi="Arial"/>
          <w:sz w:val="22"/>
          <w:szCs w:val="22"/>
        </w:rPr>
        <w:t xml:space="preserve">Les frais professionnels engagés par les collaborateurs dans le cadre de leurs missions sont remboursés sur présentation des justificatifs originaux, dans les limites définies ci-dessous.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1.1 Repas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 de repas</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Plafond</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Justificatif</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Déjeuner seul</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25 € maximum</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Obligatoire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Déjeuner avec client</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60 € maximum</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Obligatoire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Dîner professionnel</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80 € maximum</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Obligatoire</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1.2 Transport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 de transport</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Remboursement</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Conditions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Transports en commun</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100 %</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Titre de transport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Taxi / VTC</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50 € max par trajet</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Justificatif obligatoire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Véhicule personnel</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0,42 € par km</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Barème fiscal en vigueur</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Train</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Classe 2 obligatoire</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Classe 1 si trajet &gt; 3h</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1.3 Hébergement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Plafond par nuit</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Justificatif</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France métropolitaine</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150 € maximum</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Obligatoire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Europe</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200 € maximum</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Obligatoire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Hors Europe</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250 € maximum</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Obligatoire + accord manager</w:t>
            </w:r>
          </w:p>
        </w:tc>
      </w:tr>
    </w:tbl>
    <w:p>
      <w:pPr>
        <w:spacing w:after="60" w:before="60"/>
      </w:pPr>
      <w:r>
        <w:t xml:space="preserve"/>
      </w:r>
    </w:p>
    <w:p>
      <w:pPr>
        <w:spacing w:after="60" w:before="60"/>
      </w:pPr>
      <w:r>
        <w:rPr>
          <w:rFonts w:ascii="Arial" w:cs="Arial" w:eastAsia="Arial" w:hAnsi="Arial"/>
          <w:sz w:val="22"/>
          <w:szCs w:val="22"/>
        </w:rPr>
        <w:t xml:space="preserve">Les demandes de remboursement doivent être soumises dans les 30 jours suivant l'engagement des frais via l'outil de gestion des notes de frais (Concur). Tout dépassement de plafond doit faire l'objet d'une validation préalable du manager.</w:t>
      </w:r>
    </w:p>
    <w:p>
      <w:pPr>
        <w:spacing w:after="60" w:before="60"/>
      </w:pPr>
      <w:r>
        <w:t xml:space="preserve"/>
      </w:r>
    </w:p>
    <w:p>
      <w:pPr>
        <w:pStyle w:val="Heading1"/>
        <w:spacing w:after="120" w:before="360"/>
      </w:pPr>
      <w:r>
        <w:rPr>
          <w:rFonts w:ascii="Arial" w:cs="Arial" w:eastAsia="Arial" w:hAnsi="Arial"/>
          <w:b/>
          <w:bCs/>
          <w:color w:val="1F4E79"/>
          <w:sz w:val="28"/>
          <w:szCs w:val="28"/>
        </w:rPr>
        <w:t xml:space="preserve">2. Types de congés</w:t>
      </w:r>
    </w:p>
    <w:p>
      <w:pPr>
        <w:spacing w:after="60" w:before="60"/>
      </w:pPr>
      <w:r>
        <w:rPr>
          <w:rFonts w:ascii="Arial" w:cs="Arial" w:eastAsia="Arial" w:hAnsi="Arial"/>
          <w:sz w:val="22"/>
          <w:szCs w:val="22"/>
        </w:rPr>
        <w:t xml:space="preserve">Les droits aux congés sont calculés sur la période de référence du 1er juin au 31 mai. Toute demande de congé doit être soumise via le portail RH avec un délai de prévenance minimum.</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2.1 Congés payés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Statut</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Quota annuel</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Quota par défaut</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Tous les collaborateurs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25 jours ouvrés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 jours à l'embauche</w:t>
            </w:r>
          </w:p>
        </w:tc>
      </w:tr>
    </w:tbl>
    <w:p>
      <w:pPr>
        <w:spacing w:after="60" w:before="60"/>
      </w:pPr>
      <w:r>
        <w:t xml:space="preserve"/>
      </w:r>
    </w:p>
    <w:p>
      <w:pPr>
        <w:spacing w:after="60" w:before="60"/>
      </w:pPr>
      <w:r>
        <w:rPr>
          <w:rFonts w:ascii="Arial" w:cs="Arial" w:eastAsia="Arial" w:hAnsi="Arial"/>
          <w:sz w:val="22"/>
          <w:szCs w:val="22"/>
        </w:rPr>
        <w:t xml:space="preserve">Les demandes de congés payés doivent être soumises au moins 2 semaines à l'avance pour les congés inférieurs à 5 jours, et 1 mois à l'avance pour les congés supérieurs à 5 jours.</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2.2 RTT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Statut</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Quota annuel</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Report possible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Cadres (forfait jour)</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 jours par an</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Non — expire au 31/12</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Non-cadres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 jour</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2.3 Congés exceptionnels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Événement</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Durée</w:t>
            </w:r>
          </w:p>
        </w:tc>
        <w:tc>
          <w:tcPr>
            <w:tcW w:type="dxa" w:w="27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Justificatif requis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Mariage / PACS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4 jours ouvrés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Acte de mariage / PACS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Naissance / adoption</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jours ouvrés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Acte de naissance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Décès conjoint ou enfant</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 jours ouvrés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Acte de décès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Décès parent ou frère/sœur</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3 jours ouvrés</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Acte de décès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Déménagement</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 jour ouvré</w:t>
            </w:r>
          </w:p>
        </w:tc>
        <w:tc>
          <w:tcPr>
            <w:tcW w:type="dxa" w:w="27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Justificatif de domicile</w:t>
            </w:r>
          </w:p>
        </w:tc>
      </w:tr>
    </w:tbl>
    <w:p>
      <w:pPr>
        <w:spacing w:after="60" w:before="60"/>
      </w:pPr>
      <w:r>
        <w:t xml:space="preserve"/>
      </w:r>
    </w:p>
    <w:p>
      <w:pPr>
        <w:pStyle w:val="Heading1"/>
        <w:spacing w:after="120" w:before="360"/>
      </w:pPr>
      <w:r>
        <w:rPr>
          <w:rFonts w:ascii="Arial" w:cs="Arial" w:eastAsia="Arial" w:hAnsi="Arial"/>
          <w:b/>
          <w:bCs/>
          <w:color w:val="1F4E79"/>
          <w:sz w:val="28"/>
          <w:szCs w:val="28"/>
        </w:rPr>
        <w:t xml:space="preserve">3. Contacts et ressources RH</w:t>
      </w:r>
    </w:p>
    <w:p>
      <w:pPr>
        <w:spacing w:after="60" w:before="60"/>
      </w:pPr>
      <w:r>
        <w:rPr>
          <w:rFonts w:ascii="Arial" w:cs="Arial" w:eastAsia="Arial" w:hAnsi="Arial"/>
          <w:sz w:val="22"/>
          <w:szCs w:val="22"/>
        </w:rPr>
        <w:t xml:space="preserve">L'équipe RH du Groupe Horizon est à votre disposition pour toute question relative à votre contrat, vos congés, vos remboursements ou votre parcours professionnel.</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3.1 Équipe RH centrale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Contact</w:t>
            </w:r>
          </w:p>
        </w:tc>
        <w:tc>
          <w:tcPr>
            <w:tcW w:type="dxa" w:w="32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Coordonnées</w:t>
            </w:r>
          </w:p>
        </w:tc>
        <w:tc>
          <w:tcPr>
            <w:tcW w:type="dxa" w:w="3263"/>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Disponibilité</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Service RH général</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rh@groupehorizon.fr</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Lun-Ven 9h-17h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Téléphone RH</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01 23 45 67 89</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Lun-Ven 9h-17h</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Marie Dubois (RRH)</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m.dubois@groupehorizon.fr</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Sur rendez-vous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Prise de rendez-vous</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calendly.com/rh-groupehorizon</w:t>
            </w:r>
          </w:p>
        </w:tc>
        <w:tc>
          <w:tcPr>
            <w:tcW w:type="dxa" w:w="3263"/>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Disponible 24h/24</w:t>
            </w:r>
          </w:p>
        </w:tc>
      </w:tr>
    </w:tbl>
    <w:p>
      <w:pPr>
        <w:spacing w:after="60" w:before="60"/>
      </w:pPr>
      <w:r>
        <w:t xml:space="preserve"/>
      </w:r>
    </w:p>
    <w:p>
      <w:pPr>
        <w:pStyle w:val="Heading2"/>
        <w:spacing w:after="80" w:before="240"/>
      </w:pPr>
      <w:r>
        <w:rPr>
          <w:rFonts w:ascii="Arial" w:cs="Arial" w:eastAsia="Arial" w:hAnsi="Arial"/>
          <w:b/>
          <w:bCs/>
          <w:color w:val="2E75B6"/>
          <w:sz w:val="24"/>
          <w:szCs w:val="24"/>
        </w:rPr>
        <w:t xml:space="preserve">3.2 Portail RH en ligne</w:t>
      </w:r>
    </w:p>
    <w:p>
      <w:pPr>
        <w:spacing w:after="60" w:before="60"/>
      </w:pPr>
      <w:r>
        <w:rPr>
          <w:rFonts w:ascii="Arial" w:cs="Arial" w:eastAsia="Arial" w:hAnsi="Arial"/>
          <w:sz w:val="22"/>
          <w:szCs w:val="22"/>
        </w:rPr>
        <w:t xml:space="preserve">Toutes les démarches RH peuvent être effectuées en ligne via le portail RH interne :</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Consultation et demande de congés</w:t>
      </w:r>
    </w:p>
    <w:p>
      <w:pPr>
        <w:pStyle w:val="ListParagraph"/>
        <w:numPr>
          <w:ilvl w:val="0"/>
          <w:numId w:val="2"/>
        </w:numPr>
        <w:spacing w:after="40" w:before="40"/>
      </w:pPr>
      <w:r>
        <w:rPr>
          <w:rFonts w:ascii="Arial" w:cs="Arial" w:eastAsia="Arial" w:hAnsi="Arial"/>
          <w:sz w:val="22"/>
          <w:szCs w:val="22"/>
        </w:rPr>
        <w:t xml:space="preserve">Soumission des notes de frais via Concur</w:t>
      </w:r>
    </w:p>
    <w:p>
      <w:pPr>
        <w:pStyle w:val="ListParagraph"/>
        <w:numPr>
          <w:ilvl w:val="0"/>
          <w:numId w:val="2"/>
        </w:numPr>
        <w:spacing w:after="40" w:before="40"/>
      </w:pPr>
      <w:r>
        <w:rPr>
          <w:rFonts w:ascii="Arial" w:cs="Arial" w:eastAsia="Arial" w:hAnsi="Arial"/>
          <w:sz w:val="22"/>
          <w:szCs w:val="22"/>
        </w:rPr>
        <w:t xml:space="preserve">Accès à votre bulletin de paie</w:t>
      </w:r>
    </w:p>
    <w:p>
      <w:pPr>
        <w:pStyle w:val="ListParagraph"/>
        <w:numPr>
          <w:ilvl w:val="0"/>
          <w:numId w:val="2"/>
        </w:numPr>
        <w:spacing w:after="40" w:before="40"/>
      </w:pPr>
      <w:r>
        <w:rPr>
          <w:rFonts w:ascii="Arial" w:cs="Arial" w:eastAsia="Arial" w:hAnsi="Arial"/>
          <w:sz w:val="22"/>
          <w:szCs w:val="22"/>
        </w:rPr>
        <w:t xml:space="preserve">Mise à jour de vos informations personnelles</w:t>
      </w:r>
    </w:p>
    <w:p>
      <w:pPr>
        <w:pStyle w:val="ListParagraph"/>
        <w:numPr>
          <w:ilvl w:val="0"/>
          <w:numId w:val="2"/>
        </w:numPr>
        <w:spacing w:after="40" w:before="40"/>
      </w:pPr>
      <w:r>
        <w:rPr>
          <w:rFonts w:ascii="Arial" w:cs="Arial" w:eastAsia="Arial" w:hAnsi="Arial"/>
          <w:sz w:val="22"/>
          <w:szCs w:val="22"/>
        </w:rPr>
        <w:t xml:space="preserve">Accès à l'ensemble des politiques RH du Groupe Horizon</w:t>
      </w:r>
    </w:p>
    <w:p>
      <w:pPr>
        <w:spacing w:after="60" w:before="60"/>
      </w:pPr>
      <w:r>
        <w:t xml:space="preserve"/>
      </w:r>
    </w:p>
    <w:p>
      <w:pPr>
        <w:spacing w:after="60" w:before="60"/>
      </w:pPr>
      <w:r>
        <w:rPr>
          <w:rFonts w:ascii="Arial" w:cs="Arial" w:eastAsia="Arial" w:hAnsi="Arial"/>
          <w:sz w:val="22"/>
          <w:szCs w:val="22"/>
        </w:rPr>
        <w:t xml:space="preserve">URL portail RH : rh.groupehorizon.intranet</w:t>
      </w:r>
    </w:p>
    <w:p>
      <w:pPr>
        <w:spacing w:after="60" w:before="60"/>
      </w:pPr>
      <w:r>
        <w:t xml:space="preserve"/>
      </w:r>
    </w:p>
    <w:p>
      <w:pPr>
        <w:pStyle w:val="Heading2"/>
        <w:spacing w:after="80" w:before="240"/>
      </w:pPr>
      <w:r>
        <w:rPr>
          <w:rFonts w:ascii="Arial" w:cs="Arial" w:eastAsia="Arial" w:hAnsi="Arial"/>
          <w:b/>
          <w:bCs/>
          <w:color w:val="2E75B6"/>
          <w:sz w:val="24"/>
          <w:szCs w:val="24"/>
        </w:rPr>
        <w:t xml:space="preserve">3.3 Procédure de demande de congés</w:t>
      </w:r>
    </w:p>
    <w:p>
      <w:pPr>
        <w:spacing w:after="60" w:before="60"/>
      </w:pPr>
      <w:r>
        <w:rPr>
          <w:rFonts w:ascii="Arial" w:cs="Arial" w:eastAsia="Arial" w:hAnsi="Arial"/>
          <w:sz w:val="22"/>
          <w:szCs w:val="22"/>
        </w:rPr>
        <w:t xml:space="preserve">Pour toute demande de congés, suivez la procédure suivante :</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Connectez-vous au portail RH</w:t>
      </w:r>
    </w:p>
    <w:p>
      <w:pPr>
        <w:pStyle w:val="ListParagraph"/>
        <w:numPr>
          <w:ilvl w:val="0"/>
          <w:numId w:val="2"/>
        </w:numPr>
        <w:spacing w:after="40" w:before="40"/>
      </w:pPr>
      <w:r>
        <w:rPr>
          <w:rFonts w:ascii="Arial" w:cs="Arial" w:eastAsia="Arial" w:hAnsi="Arial"/>
          <w:sz w:val="22"/>
          <w:szCs w:val="22"/>
        </w:rPr>
        <w:t xml:space="preserve">Accédez à la section "Mes congés"</w:t>
      </w:r>
    </w:p>
    <w:p>
      <w:pPr>
        <w:pStyle w:val="ListParagraph"/>
        <w:numPr>
          <w:ilvl w:val="0"/>
          <w:numId w:val="2"/>
        </w:numPr>
        <w:spacing w:after="40" w:before="40"/>
      </w:pPr>
      <w:r>
        <w:rPr>
          <w:rFonts w:ascii="Arial" w:cs="Arial" w:eastAsia="Arial" w:hAnsi="Arial"/>
          <w:sz w:val="22"/>
          <w:szCs w:val="22"/>
        </w:rPr>
        <w:t xml:space="preserve">Sélectionnez le type de congé et les dates souhaitées</w:t>
      </w:r>
    </w:p>
    <w:p>
      <w:pPr>
        <w:pStyle w:val="ListParagraph"/>
        <w:numPr>
          <w:ilvl w:val="0"/>
          <w:numId w:val="2"/>
        </w:numPr>
        <w:spacing w:after="40" w:before="40"/>
      </w:pPr>
      <w:r>
        <w:rPr>
          <w:rFonts w:ascii="Arial" w:cs="Arial" w:eastAsia="Arial" w:hAnsi="Arial"/>
          <w:sz w:val="22"/>
          <w:szCs w:val="22"/>
        </w:rPr>
        <w:t xml:space="preserve">Soumettez la demande pour validation par votre manager</w:t>
      </w:r>
    </w:p>
    <w:p>
      <w:pPr>
        <w:pStyle w:val="ListParagraph"/>
        <w:numPr>
          <w:ilvl w:val="0"/>
          <w:numId w:val="2"/>
        </w:numPr>
        <w:spacing w:after="40" w:before="40"/>
      </w:pPr>
      <w:r>
        <w:rPr>
          <w:rFonts w:ascii="Arial" w:cs="Arial" w:eastAsia="Arial" w:hAnsi="Arial"/>
          <w:sz w:val="22"/>
          <w:szCs w:val="22"/>
        </w:rPr>
        <w:t xml:space="preserve">Vous recevrez une confirmation par email dans les 48 heures</w:t>
      </w:r>
    </w:p>
    <w:p>
      <w:pPr>
        <w:spacing w:after="60" w:before="60"/>
      </w:pPr>
      <w:r>
        <w:t xml:space="preserve"/>
      </w:r>
    </w:p>
    <w:p>
      <w:pPr>
        <w:spacing w:after="60" w:before="60"/>
      </w:pPr>
      <w:r>
        <w:t xml:space="preserve"/>
      </w:r>
    </w:p>
    <w:p>
      <w:pPr>
        <w:pBdr>
          <w:top w:val="single" w:color="CCCCCC" w:sz="4" w:space="1"/>
        </w:pBdr>
        <w:spacing w:after="60" w:before="240"/>
      </w:pPr>
      <w:r>
        <w:rPr>
          <w:rFonts w:ascii="Arial" w:cs="Arial" w:eastAsia="Arial" w:hAnsi="Arial"/>
          <w:i/>
          <w:iCs/>
          <w:color w:val="888888"/>
          <w:sz w:val="18"/>
          <w:szCs w:val="18"/>
        </w:rPr>
        <w:t xml:space="preserve">Ce document est propriété du Groupe Horizon. Toute reproduction ou diffusion externe est interdite sans autorisation écrite de la Direction des Ressources Humaines.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888888"/>
        <w:sz w:val="18"/>
        <w:szCs w:val="18"/>
      </w:rPr>
      <w:t xml:space="preserve">DSI Groupe Horizon — Document interne — Version 2.1 — Janvier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20"/>
        <w:szCs w:val="20"/>
      </w:rPr>
      <w:t xml:space="preserve">POLITIQUE RH — GROUPE HORIZON</w:t>
    </w:r>
    <w:r>
      <w:rPr>
        <w:rFonts w:ascii="Arial" w:cs="Arial" w:eastAsia="Arial" w:hAnsi="Arial"/>
        <w:color w:val="888888"/>
        <w:sz w:val="18"/>
        <w:szCs w:val="18"/>
      </w:rPr>
      <w:t xml:space="preserve">   |   Confidentiel interne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2026-05-04T13:29:26.480Z</dcterms:created>
  <dcterms:modified xsi:type="dcterms:W3CDTF">2026-05-04T13:29:26.481Z</dcterms:modified>
</cp:coreProperties>
</file>

<file path=docProps/custom.xml><?xml version="1.0" encoding="utf-8"?>
<Properties xmlns="http://schemas.openxmlformats.org/officeDocument/2006/custom-properties" xmlns:vt="http://schemas.openxmlformats.org/officeDocument/2006/docPropsVTypes"/>
</file>