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BindX – AI Scientific Agents</w:t>
        <w:br/>
        <w:t>Technical Specification &amp; Integration Requirements</w:t>
      </w:r>
    </w:p>
    <w:p>
      <w:r>
        <w:t>Author: Anthony Boisbouvier</w:t>
        <w:br/>
        <w:t>Document type: Technical specification (developer &amp; AI-agent ready)</w:t>
        <w:br/>
        <w:t>Scope: Definition of four AI scientific agents integrated into BindX</w:t>
        <w:br/>
        <w:br/>
        <w:t>IMPORTANT:</w:t>
        <w:br/>
        <w:t>- Agents DO NOT compute metrics or scores</w:t>
        <w:br/>
        <w:t>- Agents interpret, compare, recommend, and explain</w:t>
        <w:br/>
        <w:t>- Numerical truth always comes from BindX deterministic pipelines</w:t>
        <w:br/>
      </w:r>
    </w:p>
    <w:p>
      <w:pPr>
        <w:pStyle w:val="Heading2"/>
      </w:pPr>
      <w:r>
        <w:t>1. Global Principles</w:t>
      </w:r>
    </w:p>
    <w:p>
      <w:r>
        <w:t>This document specifies the design and integration of four AI agents intended to assist scientific decision-making within the BindX platform.</w:t>
        <w:br/>
        <w:br/>
        <w:t>Core principles:</w:t>
        <w:br/>
        <w:t>- Deterministic core, probabilistic reasoning</w:t>
        <w:br/>
        <w:t>- Strict separation between computation and interpretation</w:t>
        <w:br/>
        <w:t>- Full auditability and traceability</w:t>
        <w:br/>
        <w:t>- CPU-only execution</w:t>
        <w:br/>
        <w:t>- Agents are advisory only (no autonomous execution)</w:t>
      </w:r>
    </w:p>
    <w:p>
      <w:pPr>
        <w:pStyle w:val="Heading2"/>
      </w:pPr>
      <w:r>
        <w:t>2. Architecture Overview</w:t>
      </w:r>
    </w:p>
    <w:p>
      <w:r>
        <w:t>The BindX AI layer is composed of four independent agents, each responsible for a distinct decision-making level in the drug discovery workflow:</w:t>
        <w:br/>
        <w:br/>
        <w:t>1. Target Assessment &amp; Campaign Design Agent</w:t>
        <w:br/>
        <w:t>2. Run Analysis &amp; Lead Selection Agent</w:t>
        <w:br/>
        <w:t>3. Candidate Scientific Evaluation Agent</w:t>
        <w:br/>
        <w:t>4. Lead Optimization Strategy Agent</w:t>
        <w:br/>
        <w:br/>
        <w:t>Each agent is stateless, callable on demand, and receives strictly scoped JSON inputs.</w:t>
      </w:r>
    </w:p>
    <w:p>
      <w:pPr>
        <w:pStyle w:val="Heading2"/>
      </w:pPr>
      <w:r>
        <w:t>3. Agent 1 – Target Assessment &amp; Campaign Design</w:t>
      </w:r>
    </w:p>
    <w:p>
      <w:r>
        <w:t>Role:</w:t>
        <w:br/>
        <w:t>Evaluate a therapeutic target and propose an appropriate screening campaign.</w:t>
        <w:br/>
        <w:br/>
        <w:t>Responsibilities:</w:t>
        <w:br/>
        <w:t>- Interpret target-level scores (evidence, druggability, novelty, safety, feasibility)</w:t>
        <w:br/>
        <w:t>- Decide GO / CAUTION / NO-GO at target level</w:t>
        <w:br/>
        <w:t>- Propose screening strategy parameters</w:t>
        <w:br/>
        <w:br/>
        <w:t>Prohibited actions:</w:t>
        <w:br/>
        <w:t>- Selecting molecules</w:t>
        <w:br/>
        <w:t>- Modifying any score</w:t>
        <w:br/>
      </w:r>
    </w:p>
    <w:p>
      <w:r>
        <w:t>Input (example):</w:t>
        <w:br/>
        <w:t>- target_id</w:t>
        <w:br/>
        <w:t>- disease_context</w:t>
        <w:br/>
        <w:t>- target_scores (dictionary)</w:t>
        <w:br/>
        <w:t>- protein annotations</w:t>
        <w:br/>
        <w:t>- project constraints</w:t>
        <w:br/>
        <w:br/>
        <w:t>Output:</w:t>
        <w:br/>
        <w:t>- target recommendation</w:t>
        <w:br/>
        <w:t>- confidence level</w:t>
        <w:br/>
        <w:t>- rationale</w:t>
        <w:br/>
        <w:t>- suggested campaign configuration</w:t>
        <w:br/>
        <w:t>- risk flags</w:t>
      </w:r>
    </w:p>
    <w:p>
      <w:pPr>
        <w:pStyle w:val="Heading2"/>
      </w:pPr>
      <w:r>
        <w:t>4. Agent 2 – Run Analysis &amp; Lead Selection</w:t>
      </w:r>
    </w:p>
    <w:p>
      <w:r>
        <w:t>Role:</w:t>
        <w:br/>
        <w:t>Analyze a complete screening run and identify the best candidates and series for lead optimization.</w:t>
        <w:br/>
        <w:br/>
        <w:t>Responsibilities:</w:t>
        <w:br/>
        <w:t>- Compare series and clusters</w:t>
        <w:br/>
        <w:t>- Identify top candidates for LO</w:t>
        <w:br/>
        <w:t>- Produce a global run conclusion</w:t>
        <w:br/>
        <w:t>- Recommend next experimental steps</w:t>
        <w:br/>
        <w:br/>
        <w:t>Prohibited actions:</w:t>
        <w:br/>
        <w:t>- Proposing chemical modifications</w:t>
        <w:br/>
        <w:t>- Evaluating individual compounds in isolation</w:t>
        <w:br/>
      </w:r>
    </w:p>
    <w:p>
      <w:r>
        <w:t>Input:</w:t>
        <w:br/>
        <w:t>- run metadata</w:t>
        <w:br/>
        <w:t>- series-level statistics</w:t>
        <w:br/>
        <w:t>- list of top compounds</w:t>
        <w:br/>
        <w:br/>
        <w:t>Output:</w:t>
        <w:br/>
        <w:t>- run conclusion</w:t>
        <w:br/>
        <w:t>- recommended series for LO</w:t>
        <w:br/>
        <w:t>- prioritized candidates</w:t>
        <w:br/>
        <w:t>- deprioritized series</w:t>
        <w:br/>
        <w:t>- next steps</w:t>
      </w:r>
    </w:p>
    <w:p>
      <w:pPr>
        <w:pStyle w:val="Heading2"/>
      </w:pPr>
      <w:r>
        <w:t>5. Agent 3 – Candidate Scientific Evaluation</w:t>
      </w:r>
    </w:p>
    <w:p>
      <w:r>
        <w:t>Role:</w:t>
        <w:br/>
        <w:t>Provide an in-depth scientific evaluation of a single candidate molecule.</w:t>
        <w:br/>
        <w:br/>
        <w:t>Responsibilities:</w:t>
        <w:br/>
        <w:t>- Interpret all available KPIs for a compound</w:t>
        <w:br/>
        <w:t>- Identify strengths and risks</w:t>
        <w:br/>
        <w:t>- Provide a clear, archivable conclusion</w:t>
        <w:br/>
        <w:br/>
        <w:t>Prohibited actions:</w:t>
        <w:br/>
        <w:t>- Cross-series comparison</w:t>
        <w:br/>
        <w:t>- Defining optimization strategies</w:t>
        <w:br/>
      </w:r>
    </w:p>
    <w:p>
      <w:r>
        <w:t>Input:</w:t>
        <w:br/>
        <w:t>- compound identifier</w:t>
        <w:br/>
        <w:t>- full KPI profile</w:t>
        <w:br/>
        <w:t>- flags and alerts</w:t>
        <w:br/>
        <w:br/>
        <w:t>Output:</w:t>
        <w:br/>
        <w:t>- scientific conclusion</w:t>
        <w:br/>
        <w:t>- overall assessment (advance / caution / stop)</w:t>
        <w:br/>
        <w:t>- key strengths</w:t>
        <w:br/>
        <w:t>- key risks</w:t>
        <w:br/>
        <w:t>- recommended validation actions</w:t>
      </w:r>
    </w:p>
    <w:p>
      <w:pPr>
        <w:pStyle w:val="Heading2"/>
      </w:pPr>
      <w:r>
        <w:t>6. Agent 4 – Lead Optimization Strategy</w:t>
      </w:r>
    </w:p>
    <w:p>
      <w:r>
        <w:t>Role:</w:t>
        <w:br/>
        <w:t>Design a rational lead optimization plan for a selected candidate.</w:t>
        <w:br/>
        <w:br/>
        <w:t>Responsibilities:</w:t>
        <w:br/>
        <w:t>- Interpret SAR context</w:t>
        <w:br/>
        <w:t>- Identify priority R-groups or positions</w:t>
        <w:br/>
        <w:t>- Propose optimization hypotheses</w:t>
        <w:br/>
        <w:t>- Suggest experimental plans</w:t>
        <w:br/>
        <w:br/>
        <w:t>Critical constraints:</w:t>
        <w:br/>
        <w:t>- Must never operate without SAR context</w:t>
        <w:br/>
        <w:t>- Must justify each recommendation</w:t>
        <w:br/>
      </w:r>
    </w:p>
    <w:p>
      <w:r>
        <w:t>Input:</w:t>
        <w:br/>
        <w:t>- lead identifier</w:t>
        <w:br/>
        <w:t>- series and scaffold</w:t>
        <w:br/>
        <w:t>- R-group decomposition</w:t>
        <w:br/>
        <w:t>- SAR summaries</w:t>
        <w:br/>
        <w:t>- optimization objectives</w:t>
        <w:br/>
        <w:br/>
        <w:t>Output:</w:t>
        <w:br/>
        <w:t>- optimization strategy narrative</w:t>
        <w:br/>
        <w:t>- prioritized R-group modifications</w:t>
        <w:br/>
        <w:t>- confidence levels</w:t>
        <w:br/>
        <w:t>- proposed experiments</w:t>
      </w:r>
    </w:p>
    <w:p>
      <w:pPr>
        <w:pStyle w:val="Heading2"/>
      </w:pPr>
      <w:r>
        <w:t>7. Governance, Safety &amp; Traceability</w:t>
      </w:r>
    </w:p>
    <w:p>
      <w:r>
        <w:t>All agent outputs must include:</w:t>
        <w:br/>
        <w:t>- agent version</w:t>
        <w:br/>
        <w:t>- model version</w:t>
        <w:br/>
        <w:t>- timestamp</w:t>
        <w:br/>
        <w:t>- input hash</w:t>
        <w:br/>
        <w:br/>
        <w:t>Agents must explicitly state confidence levels and uncertainty.</w:t>
      </w:r>
    </w:p>
    <w:p>
      <w:pPr>
        <w:pStyle w:val="Heading2"/>
      </w:pPr>
      <w:r>
        <w:t>8. Integration into BindX</w:t>
      </w:r>
    </w:p>
    <w:p>
      <w:r>
        <w:t>Agents are integrated as an optional AI advisory layer.</w:t>
        <w:br/>
        <w:br/>
        <w:t>Integration rules:</w:t>
        <w:br/>
        <w:t>- Agents consume BindX-generated JSON only</w:t>
        <w:br/>
        <w:t>- Agents expose no side effects</w:t>
        <w:br/>
        <w:t>- BindX remains the single source of truth</w:t>
        <w:br/>
      </w:r>
    </w:p>
    <w:p>
      <w:pPr>
        <w:pStyle w:val="Heading2"/>
      </w:pPr>
      <w:r>
        <w:t>9. Deployment &amp; Operations</w:t>
      </w:r>
    </w:p>
    <w:p>
      <w:r>
        <w:t>Recommended implementation:</w:t>
        <w:br/>
        <w:t>- LLM-based services with strict schema validation</w:t>
        <w:br/>
        <w:t>- Containerized deployment</w:t>
        <w:br/>
        <w:t>- On-demand invocation</w:t>
        <w:br/>
        <w:br/>
        <w:t>Agents may be disabled without impacting core BindX functionality.</w:t>
      </w:r>
    </w:p>
    <w:p>
      <w:pPr>
        <w:pStyle w:val="Heading2"/>
      </w:pPr>
      <w:r>
        <w:t>10. Final Notes</w:t>
      </w:r>
    </w:p>
    <w:p>
      <w:r>
        <w:t>This four-agent architecture mirrors a real-world drug discovery organization.</w:t>
        <w:br/>
        <w:br/>
        <w:t>It maximizes scientific credibility, minimizes hallucination risk, and enables progressive automation without loss of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