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BindX – Target Assessment Engine</w:t>
        <w:br/>
        <w:t>Technical Specification for Autonomous Development</w:t>
      </w:r>
    </w:p>
    <w:p>
      <w:r>
        <w:t>Author: Anthony Boisbouvier</w:t>
        <w:br/>
        <w:t>Audience: AI coding agent (Claude)</w:t>
        <w:br/>
        <w:t>Purpose: This document is a COMPLETE technical specification to allow an AI coding agent to implement the Target Assessment application autonomously.</w:t>
        <w:br/>
        <w:br/>
        <w:t>IMPORTANT: This application MUST be developed as a STANDALONE SERVICE (V1). Integration into BindX (main virtual screening platform) will happen in a later phase (V2).</w:t>
      </w:r>
    </w:p>
    <w:p>
      <w:pPr>
        <w:pStyle w:val="Heading2"/>
      </w:pPr>
      <w:r>
        <w:t>1. Global Instruction to the Coding Agent</w:t>
      </w:r>
    </w:p>
    <w:p>
      <w:r>
        <w:t>You are tasked with implementing a production-grade standalone application called 'Target Assessment Engine'.</w:t>
        <w:br/>
        <w:br/>
        <w:t>This engine evaluates the scientific and operational quality of a therapeutic target prior to virtual screening. The system must be robust, explainable, CPU-only, and easy to maintain.</w:t>
        <w:br/>
        <w:br/>
        <w:t>DO NOT assume any existing BindX codebase. Treat this as a greenfield project.</w:t>
      </w:r>
    </w:p>
    <w:p>
      <w:pPr>
        <w:pStyle w:val="Heading2"/>
      </w:pPr>
      <w:r>
        <w:t>2. Development Philosophy</w:t>
      </w:r>
    </w:p>
    <w:p>
      <w:r>
        <w:t>- CPU-only execution</w:t>
        <w:br/>
        <w:t>- No model training</w:t>
        <w:br/>
        <w:t>- Deterministic scoring</w:t>
        <w:br/>
        <w:t>- Graceful degradation when data sources fail</w:t>
        <w:br/>
        <w:t>- Strict schemas and contracts</w:t>
        <w:br/>
        <w:t>- Modular architecture</w:t>
        <w:br/>
        <w:t>- Zero hard dependency on LLM availability</w:t>
      </w:r>
    </w:p>
    <w:p>
      <w:pPr>
        <w:pStyle w:val="Heading2"/>
      </w:pPr>
      <w:r>
        <w:t>3. Scope of the Application</w:t>
      </w:r>
    </w:p>
    <w:p>
      <w:r>
        <w:t>Input: target + disease context</w:t>
        <w:br/>
        <w:t>Output: structured assessment with scores and recommendation</w:t>
        <w:br/>
        <w:br/>
        <w:t>The application must:</w:t>
        <w:br/>
        <w:t>- Fetch public biological data</w:t>
        <w:br/>
        <w:t>- Normalize entities</w:t>
        <w:br/>
        <w:t>- Compute multiple scores</w:t>
        <w:br/>
        <w:t>- Aggregate scores into a decision</w:t>
        <w:br/>
        <w:t>- Optionally enrich output using LLMs</w:t>
      </w:r>
    </w:p>
    <w:p>
      <w:pPr>
        <w:pStyle w:val="Heading2"/>
      </w:pPr>
      <w:r>
        <w:t>4. Explicit Non-Goals</w:t>
      </w:r>
    </w:p>
    <w:p>
      <w:r>
        <w:t>- No discovery of new targets</w:t>
        <w:br/>
        <w:t>- No deep learning model training</w:t>
        <w:br/>
        <w:t>- No GPU usage</w:t>
        <w:br/>
        <w:t>- No wet-lab execution</w:t>
        <w:br/>
        <w:t>- No tight coupling with BindX</w:t>
      </w:r>
    </w:p>
    <w:p>
      <w:pPr>
        <w:pStyle w:val="Heading2"/>
      </w:pPr>
      <w:r>
        <w:t>5. System Architecture (MANDATORY)</w:t>
      </w:r>
    </w:p>
    <w:p>
      <w:r>
        <w:t>Architecture must follow this pattern:</w:t>
        <w:br/>
        <w:br/>
        <w:t>FastAPI REST API</w:t>
        <w:br/>
        <w:t>↓</w:t>
        <w:br/>
        <w:t>Async Orchestrator / Worker</w:t>
        <w:br/>
        <w:t>↓</w:t>
        <w:br/>
        <w:t>Data Connectors (UniProt, Open Targets, ChEMBL, AlphaFold)</w:t>
        <w:br/>
        <w:t>↓</w:t>
        <w:br/>
        <w:t>Scoring Engine (pure Python)</w:t>
        <w:br/>
        <w:t>↓</w:t>
        <w:br/>
        <w:t>Report Generator (JSON + HTML)</w:t>
        <w:br/>
        <w:br/>
        <w:t>All components must be independently testable.</w:t>
      </w:r>
    </w:p>
    <w:p>
      <w:pPr>
        <w:pStyle w:val="Heading2"/>
      </w:pPr>
      <w:r>
        <w:t>6. API Contract</w:t>
      </w:r>
    </w:p>
    <w:p>
      <w:r>
        <w:t>POST /assessments</w:t>
        <w:br/>
        <w:t>GET /assessments/{assessment_id}</w:t>
        <w:br/>
        <w:t>GET /health</w:t>
        <w:br/>
        <w:br/>
        <w:t>The POST endpoint must be idempotent when given identical inputs.</w:t>
      </w:r>
    </w:p>
    <w:p>
      <w:pPr>
        <w:pStyle w:val="Heading2"/>
      </w:pPr>
      <w:r>
        <w:t>7. Input Schema (STRICT)</w:t>
      </w:r>
    </w:p>
    <w:p>
      <w:r>
        <w:t>TargetAssessmentRequest:</w:t>
        <w:br/>
        <w:t>- target: {type: 'uniprot'|'gene', value: string}</w:t>
        <w:br/>
        <w:t>- disease: {type: 'text'|'ontology', value: string}</w:t>
        <w:br/>
        <w:t>- modality: 'small_molecule'|'biologic'</w:t>
        <w:br/>
        <w:t>- mechanism: optional string</w:t>
        <w:br/>
        <w:t>- options: {enable_llm: boolean}</w:t>
        <w:br/>
        <w:br/>
        <w:t>Reject invalid inputs explicitly.</w:t>
      </w:r>
    </w:p>
    <w:p>
      <w:pPr>
        <w:pStyle w:val="Heading2"/>
      </w:pPr>
      <w:r>
        <w:t>8. Output Schema (STRICT)</w:t>
      </w:r>
    </w:p>
    <w:p>
      <w:r>
        <w:t>TargetAssessmentResult must include:</w:t>
        <w:br/>
        <w:t>- metadata</w:t>
        <w:br/>
        <w:t>- resolved_entities</w:t>
        <w:br/>
        <w:t>- scores (with confidence)</w:t>
        <w:br/>
        <w:t>- flags</w:t>
        <w:br/>
        <w:t>- recommendation</w:t>
        <w:br/>
        <w:t>- provenance</w:t>
      </w:r>
    </w:p>
    <w:p>
      <w:pPr>
        <w:pStyle w:val="Heading2"/>
      </w:pPr>
      <w:r>
        <w:t>9. Data Sources – REQUIRED</w:t>
      </w:r>
    </w:p>
    <w:p>
      <w:r>
        <w:t>UniProt: protein annotations</w:t>
        <w:br/>
        <w:t>Open Targets: target–disease evidence</w:t>
        <w:br/>
        <w:t>ChEMBL: ligands, assays, saturation</w:t>
        <w:br/>
        <w:t>AlphaFold: structure retrieval</w:t>
        <w:br/>
        <w:br/>
        <w:t>Each connector must:</w:t>
        <w:br/>
        <w:t>- Handle retries</w:t>
        <w:br/>
        <w:t>- Support caching</w:t>
        <w:br/>
        <w:t>- Expose raw responses for audit</w:t>
      </w:r>
    </w:p>
    <w:p>
      <w:pPr>
        <w:pStyle w:val="Heading2"/>
      </w:pPr>
      <w:r>
        <w:t>10. Evidence Scoring Module</w:t>
      </w:r>
    </w:p>
    <w:p>
      <w:r>
        <w:t>Compute EvidenceScore using Open Targets association scores.</w:t>
        <w:br/>
        <w:br/>
        <w:t>Rules:</w:t>
        <w:br/>
        <w:t>- High genetic evidence → strong positive weight</w:t>
        <w:br/>
        <w:t>- Sparse or indirect evidence → low confidence</w:t>
        <w:br/>
        <w:br/>
        <w:t>Output must include top contributing evidences.</w:t>
      </w:r>
    </w:p>
    <w:p>
      <w:pPr>
        <w:pStyle w:val="Heading2"/>
      </w:pPr>
      <w:r>
        <w:t>11. Druggability Scoring Module</w:t>
      </w:r>
    </w:p>
    <w:p>
      <w:r>
        <w:t>If modality == small_molecule:</w:t>
        <w:br/>
        <w:t>- Analyze AlphaFold structure</w:t>
        <w:br/>
        <w:t>- Run FPocket (CPU)</w:t>
        <w:br/>
        <w:t>- Score based on pocket size and quality</w:t>
        <w:br/>
        <w:br/>
        <w:t>If modality == biologic:</w:t>
        <w:br/>
        <w:t>- Use accessibility and protein class heuristics</w:t>
      </w:r>
    </w:p>
    <w:p>
      <w:pPr>
        <w:pStyle w:val="Heading2"/>
      </w:pPr>
      <w:r>
        <w:t>12. Novelty Scoring Module</w:t>
      </w:r>
    </w:p>
    <w:p>
      <w:r>
        <w:t>Query ChEMBL for:</w:t>
        <w:br/>
        <w:t>- Number of ligands</w:t>
        <w:br/>
        <w:t>- Number of assays</w:t>
        <w:br/>
        <w:t>- Clinical candidates (if available)</w:t>
        <w:br/>
        <w:br/>
        <w:t>High saturation → lower novelty score</w:t>
      </w:r>
    </w:p>
    <w:p>
      <w:pPr>
        <w:pStyle w:val="Heading2"/>
      </w:pPr>
      <w:r>
        <w:t>13. Safety Risk Module</w:t>
      </w:r>
    </w:p>
    <w:p>
      <w:r>
        <w:t>Use heuristic rules only:</w:t>
        <w:br/>
        <w:t>- Essential protein families</w:t>
        <w:br/>
        <w:t>- Ubiquitous expression indicators</w:t>
        <w:br/>
        <w:br/>
        <w:t>Output is a RISK score (higher = riskier).</w:t>
      </w:r>
    </w:p>
    <w:p>
      <w:pPr>
        <w:pStyle w:val="Heading2"/>
      </w:pPr>
      <w:r>
        <w:t>14. Feasibility Module</w:t>
      </w:r>
    </w:p>
    <w:p>
      <w:r>
        <w:t>Assess experimental feasibility using:</w:t>
        <w:br/>
        <w:t>- ChEMBL assay count</w:t>
        <w:br/>
        <w:t>- Target class (enzyme, receptor, TF)</w:t>
        <w:br/>
        <w:br/>
        <w:t>This score reflects CRO-friendliness.</w:t>
      </w:r>
    </w:p>
    <w:p>
      <w:pPr>
        <w:pStyle w:val="Heading2"/>
      </w:pPr>
      <w:r>
        <w:t>15. Score Aggregation</w:t>
      </w:r>
    </w:p>
    <w:p>
      <w:r>
        <w:t>Aggregate scores via weighted sum.</w:t>
        <w:br/>
        <w:br/>
        <w:t>Weights must be configurable via YAML.</w:t>
        <w:br/>
        <w:t>Critical flags override the global score.</w:t>
      </w:r>
    </w:p>
    <w:p>
      <w:pPr>
        <w:pStyle w:val="Heading2"/>
      </w:pPr>
      <w:r>
        <w:t>16. Recommendation Engine</w:t>
      </w:r>
    </w:p>
    <w:p>
      <w:r>
        <w:t>Rules:</w:t>
        <w:br/>
        <w:t>- GO: high score, no critical flags</w:t>
        <w:br/>
        <w:t>- CAUTION: mixed signals</w:t>
        <w:br/>
        <w:t>- NO-GO: low score or blocking risk</w:t>
        <w:br/>
        <w:br/>
        <w:t>Recommendation must be explainable.</w:t>
      </w:r>
    </w:p>
    <w:p>
      <w:pPr>
        <w:pStyle w:val="Heading2"/>
      </w:pPr>
      <w:r>
        <w:t>17. Optional LLM Integration</w:t>
      </w:r>
    </w:p>
    <w:p>
      <w:r>
        <w:t>LLMs may be used to:</w:t>
        <w:br/>
        <w:t>- Summarize findings</w:t>
        <w:br/>
        <w:t>- Detect red flags</w:t>
        <w:br/>
        <w:t>- Suggest standard assays</w:t>
        <w:br/>
        <w:br/>
        <w:t>LLM output must be strictly validated JSON.</w:t>
        <w:br/>
        <w:t>Failure of LLM must NOT block execution.</w:t>
      </w:r>
    </w:p>
    <w:p>
      <w:pPr>
        <w:pStyle w:val="Heading2"/>
      </w:pPr>
      <w:r>
        <w:t>18. Error Handling and Degraded Mode</w:t>
      </w:r>
    </w:p>
    <w:p>
      <w:r>
        <w:t>If a data source fails:</w:t>
        <w:br/>
        <w:t>- Continue execution</w:t>
        <w:br/>
        <w:t>- Lower confidence</w:t>
        <w:br/>
        <w:t>- Add explicit warning flag</w:t>
      </w:r>
    </w:p>
    <w:p>
      <w:pPr>
        <w:pStyle w:val="Heading2"/>
      </w:pPr>
      <w:r>
        <w:t>19. Caching Strategy</w:t>
      </w:r>
    </w:p>
    <w:p>
      <w:r>
        <w:t>Cache:</w:t>
        <w:br/>
        <w:t>- Resolved targets</w:t>
        <w:br/>
        <w:t>- External API responses</w:t>
        <w:br/>
        <w:t>- Final assessment results</w:t>
        <w:br/>
        <w:br/>
        <w:t>Cache must dramatically reduce latency on repeat calls.</w:t>
      </w:r>
    </w:p>
    <w:p>
      <w:pPr>
        <w:pStyle w:val="Heading2"/>
      </w:pPr>
      <w:r>
        <w:t>20. Persistence</w:t>
      </w:r>
    </w:p>
    <w:p>
      <w:r>
        <w:t>Store:</w:t>
        <w:br/>
        <w:t>- Input payload</w:t>
        <w:br/>
        <w:t>- Output result</w:t>
        <w:br/>
        <w:t>- Hash of inputs</w:t>
        <w:br/>
        <w:br/>
        <w:t>SQLite is acceptable for V1.</w:t>
      </w:r>
    </w:p>
    <w:p>
      <w:pPr>
        <w:pStyle w:val="Heading2"/>
      </w:pPr>
      <w:r>
        <w:t>21. Logging and Observability</w:t>
      </w:r>
    </w:p>
    <w:p>
      <w:r>
        <w:t>Structured logs only.</w:t>
        <w:br/>
        <w:br/>
        <w:t>Log:</w:t>
        <w:br/>
        <w:t>- Request ID</w:t>
        <w:br/>
        <w:t>- Assessment ID</w:t>
        <w:br/>
        <w:t>- Source latencies</w:t>
        <w:br/>
        <w:t>- Failures</w:t>
      </w:r>
    </w:p>
    <w:p>
      <w:pPr>
        <w:pStyle w:val="Heading2"/>
      </w:pPr>
      <w:r>
        <w:t>22. Testing Requirements</w:t>
      </w:r>
    </w:p>
    <w:p>
      <w:r>
        <w:t>Mandatory tests:</w:t>
        <w:br/>
        <w:t>- Unit tests for scoring logic</w:t>
        <w:br/>
        <w:t>- Integration tests with mocked APIs</w:t>
        <w:br/>
        <w:t>- Regression tests on known targets</w:t>
      </w:r>
    </w:p>
    <w:p>
      <w:pPr>
        <w:pStyle w:val="Heading2"/>
      </w:pPr>
      <w:r>
        <w:t>23. Deployment</w:t>
      </w:r>
    </w:p>
    <w:p>
      <w:r>
        <w:t>Provide:</w:t>
        <w:br/>
        <w:t>- Dockerfile</w:t>
        <w:br/>
        <w:t>- docker-compose.yml</w:t>
        <w:br/>
        <w:br/>
        <w:t>Service must start with a single command.</w:t>
      </w:r>
    </w:p>
    <w:p>
      <w:pPr>
        <w:pStyle w:val="Heading2"/>
      </w:pPr>
      <w:r>
        <w:t>24. Versioning and Evolution</w:t>
      </w:r>
    </w:p>
    <w:p>
      <w:r>
        <w:t>All outputs must include a version.</w:t>
        <w:br/>
        <w:br/>
        <w:t>The API contract MUST remain stable for BindX integration.</w:t>
      </w:r>
    </w:p>
    <w:p>
      <w:pPr>
        <w:pStyle w:val="Heading2"/>
      </w:pPr>
      <w:r>
        <w:t>25. Future Integration into BindX (IMPORTANT)</w:t>
      </w:r>
    </w:p>
    <w:p>
      <w:r>
        <w:t>This application will later be integrated upstream of BindX screening workflows.</w:t>
        <w:br/>
        <w:br/>
        <w:t>DO NOT introduce tight coupling.</w:t>
        <w:br/>
        <w:t>Expose clean REST APIs only.</w:t>
        <w:br/>
        <w:t>Assume BindX is a separate system.</w:t>
      </w:r>
    </w:p>
    <w:p>
      <w:pPr>
        <w:pStyle w:val="Heading2"/>
      </w:pPr>
      <w:r>
        <w:t>26. Final Instruction to the Coding Agent</w:t>
      </w:r>
    </w:p>
    <w:p>
      <w:r>
        <w:t>You must implement this system as if it will be used in production.</w:t>
        <w:br/>
        <w:br/>
        <w:t>Prioritize correctness, robustness, and explainability over cleverness.</w:t>
        <w:br/>
        <w:t>If an ambiguity exists, choose the simplest, most explicit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