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0"/>
          <w:szCs w:val="40"/>
        </w:rPr>
        <w:t xml:space="preserve">INTERNAL SECURITY AUDIT REPORT</w:t>
      </w:r>
    </w:p>
    <w:p>
      <w:pPr>
        <w:spacing w:after="80"/>
        <w:jc w:val="center"/>
      </w:pPr>
      <w:r>
        <w:rPr>
          <w:rFonts w:ascii="Arial" w:cs="Arial" w:eastAsia="Arial" w:hAnsi="Arial"/>
          <w:b/>
          <w:bCs/>
          <w:color w:val="2E75B6"/>
          <w:sz w:val="30"/>
          <w:szCs w:val="30"/>
        </w:rPr>
        <w:t xml:space="preserve">Botium Toys</w:t>
      </w:r>
    </w:p>
    <w:p>
      <w:pPr>
        <w:spacing w:after="80"/>
        <w:jc w:val="center"/>
      </w:pPr>
      <w:r>
        <w:rPr>
          <w:rFonts w:ascii="Arial" w:cs="Arial" w:eastAsia="Arial" w:hAnsi="Arial"/>
          <w:color w:val="595959"/>
          <w:sz w:val="24"/>
          <w:szCs w:val="24"/>
        </w:rPr>
        <w:t xml:space="preserve">Controls &amp; Compliance Assessment</w:t>
      </w:r>
    </w:p>
    <w:p>
      <w:pPr>
        <w:spacing w:after="480"/>
        <w:jc w:val="center"/>
      </w:pPr>
      <w:r>
        <w:rPr>
          <w:rFonts w:ascii="Arial" w:cs="Arial" w:eastAsia="Arial" w:hAnsi="Arial"/>
          <w:i/>
          <w:iCs/>
          <w:color w:val="595959"/>
          <w:sz w:val="22"/>
          <w:szCs w:val="22"/>
        </w:rPr>
        <w:t xml:space="preserve">Audit Date: April 2026  |  Framework: NIST CSF</w:t>
      </w:r>
    </w:p>
    <w:p>
      <w:pPr>
        <w:pBdr>
          <w:bottom w:val="single" w:color="2E75B6" w:sz="6" w:space="1"/>
        </w:pBdr>
        <w:spacing w:after="120" w:before="120"/>
      </w:pPr>
    </w:p>
    <w:p>
      <w:pPr>
        <w:pStyle w:val="Heading1"/>
        <w:spacing w:after="120" w:before="360"/>
      </w:pPr>
      <w:r>
        <w:rPr>
          <w:rFonts w:ascii="Arial" w:cs="Arial" w:eastAsia="Arial" w:hAnsi="Arial"/>
          <w:b/>
          <w:bCs/>
          <w:color w:val="1F4E79"/>
          <w:sz w:val="32"/>
          <w:szCs w:val="32"/>
        </w:rPr>
        <w:t xml:space="preserve">Executive Summary</w:t>
      </w:r>
    </w:p>
    <w:p>
      <w:pPr>
        <w:spacing w:after="120"/>
      </w:pPr>
      <w:r>
        <w:rPr>
          <w:rFonts w:ascii="Arial" w:cs="Arial" w:eastAsia="Arial" w:hAnsi="Arial"/>
          <w:sz w:val="22"/>
          <w:szCs w:val="22"/>
        </w:rPr>
        <w:t xml:space="preserve">Botium Toys is a small U.S.-based toy retailer with a growing online presence serving domestic and international customers. This internal security audit was conducted in response to increasing IT pressure associated with global expansion and concerns about maintaining regulatory compliance.</w:t>
      </w:r>
    </w:p>
    <w:p>
      <w:pPr>
        <w:spacing w:after="120"/>
      </w:pPr>
      <w:r>
        <w:rPr>
          <w:rFonts w:ascii="Arial" w:cs="Arial" w:eastAsia="Arial" w:hAnsi="Arial"/>
          <w:sz w:val="22"/>
          <w:szCs w:val="22"/>
        </w:rPr>
        <w:t xml:space="preserve">The audit evaluated all assets managed by the IT department and assessed the implementation of security controls and compliance best practices using the NIST Cybersecurity Framework (NIST CSF). Key findings reveal significant gaps in access control, data encryption, incident response, and regulatory compliance that pose considerable risk to the organization.</w:t>
      </w:r>
    </w:p>
    <w:p>
      <w:pPr>
        <w:spacing w:after="120"/>
      </w:pPr>
      <w:r>
        <w:rPr>
          <w:rFonts w:ascii="Arial" w:cs="Arial" w:eastAsia="Arial" w:hAnsi="Arial"/>
          <w:b/>
          <w:bCs/>
          <w:color w:val="9C0006"/>
          <w:sz w:val="22"/>
          <w:szCs w:val="22"/>
        </w:rPr>
        <w:t xml:space="preserve">Overall Risk Score: 8 / 10 (High)</w:t>
      </w:r>
    </w:p>
    <w:p>
      <w:pPr>
        <w:pBdr>
          <w:bottom w:val="single" w:color="2E75B6" w:sz="6" w:space="1"/>
        </w:pBdr>
        <w:spacing w:after="120" w:before="120"/>
      </w:pPr>
    </w:p>
    <w:p>
      <w:pPr>
        <w:pStyle w:val="Heading1"/>
        <w:spacing w:after="120" w:before="360"/>
      </w:pPr>
      <w:r>
        <w:rPr>
          <w:rFonts w:ascii="Arial" w:cs="Arial" w:eastAsia="Arial" w:hAnsi="Arial"/>
          <w:b/>
          <w:bCs/>
          <w:color w:val="1F4E79"/>
          <w:sz w:val="32"/>
          <w:szCs w:val="32"/>
        </w:rPr>
        <w:t xml:space="preserve">Scope &amp; Goals of the Audit</w:t>
      </w:r>
    </w:p>
    <w:p>
      <w:pPr>
        <w:pStyle w:val="Heading2"/>
        <w:spacing w:after="80" w:before="240"/>
      </w:pPr>
      <w:r>
        <w:rPr>
          <w:rFonts w:ascii="Arial" w:cs="Arial" w:eastAsia="Arial" w:hAnsi="Arial"/>
          <w:b/>
          <w:bCs/>
          <w:color w:val="2E75B6"/>
          <w:sz w:val="26"/>
          <w:szCs w:val="26"/>
        </w:rPr>
        <w:t xml:space="preserve">Scope</w:t>
      </w:r>
    </w:p>
    <w:p>
      <w:pPr>
        <w:spacing w:after="120"/>
      </w:pPr>
      <w:r>
        <w:rPr>
          <w:rFonts w:ascii="Arial" w:cs="Arial" w:eastAsia="Arial" w:hAnsi="Arial"/>
          <w:sz w:val="22"/>
          <w:szCs w:val="22"/>
        </w:rPr>
        <w:t xml:space="preserve">The audit covers the entire security program at Botium Toys, including all assets managed by the IT department and all internal processes and procedures related to controls and compliance best practices.</w:t>
      </w:r>
    </w:p>
    <w:p>
      <w:pPr>
        <w:pStyle w:val="Heading2"/>
        <w:spacing w:after="80" w:before="240"/>
      </w:pPr>
      <w:r>
        <w:rPr>
          <w:rFonts w:ascii="Arial" w:cs="Arial" w:eastAsia="Arial" w:hAnsi="Arial"/>
          <w:b/>
          <w:bCs/>
          <w:color w:val="2E75B6"/>
          <w:sz w:val="26"/>
          <w:szCs w:val="26"/>
        </w:rPr>
        <w:t xml:space="preserve">Goals</w:t>
      </w:r>
    </w:p>
    <w:p>
      <w:pPr>
        <w:pStyle w:val="ListParagraph"/>
        <w:numPr>
          <w:ilvl w:val="0"/>
          <w:numId w:val="2"/>
        </w:numPr>
        <w:spacing w:after="60"/>
      </w:pPr>
      <w:r>
        <w:rPr>
          <w:rFonts w:ascii="Arial" w:cs="Arial" w:eastAsia="Arial" w:hAnsi="Arial"/>
          <w:b w:val="false"/>
          <w:bCs w:val="false"/>
          <w:sz w:val="22"/>
          <w:szCs w:val="22"/>
        </w:rPr>
        <w:t xml:space="preserve">Assess existing assets against NIST CSF controls</w:t>
      </w:r>
    </w:p>
    <w:p>
      <w:pPr>
        <w:pStyle w:val="ListParagraph"/>
        <w:numPr>
          <w:ilvl w:val="0"/>
          <w:numId w:val="2"/>
        </w:numPr>
        <w:spacing w:after="60"/>
      </w:pPr>
      <w:r>
        <w:rPr>
          <w:rFonts w:ascii="Arial" w:cs="Arial" w:eastAsia="Arial" w:hAnsi="Arial"/>
          <w:b w:val="false"/>
          <w:bCs w:val="false"/>
          <w:sz w:val="22"/>
          <w:szCs w:val="22"/>
        </w:rPr>
        <w:t xml:space="preserve">Complete a controls and compliance checklist</w:t>
      </w:r>
    </w:p>
    <w:p>
      <w:pPr>
        <w:pStyle w:val="ListParagraph"/>
        <w:numPr>
          <w:ilvl w:val="0"/>
          <w:numId w:val="2"/>
        </w:numPr>
        <w:spacing w:after="60"/>
      </w:pPr>
      <w:r>
        <w:rPr>
          <w:rFonts w:ascii="Arial" w:cs="Arial" w:eastAsia="Arial" w:hAnsi="Arial"/>
          <w:b w:val="false"/>
          <w:bCs w:val="false"/>
          <w:sz w:val="22"/>
          <w:szCs w:val="22"/>
        </w:rPr>
        <w:t xml:space="preserve">Identify gaps in security posture</w:t>
      </w:r>
    </w:p>
    <w:p>
      <w:pPr>
        <w:pStyle w:val="ListParagraph"/>
        <w:numPr>
          <w:ilvl w:val="0"/>
          <w:numId w:val="2"/>
        </w:numPr>
        <w:spacing w:after="60"/>
      </w:pPr>
      <w:r>
        <w:rPr>
          <w:rFonts w:ascii="Arial" w:cs="Arial" w:eastAsia="Arial" w:hAnsi="Arial"/>
          <w:b w:val="false"/>
          <w:bCs w:val="false"/>
          <w:sz w:val="22"/>
          <w:szCs w:val="22"/>
        </w:rPr>
        <w:t xml:space="preserve">Provide recommendations to reduce risk and achieve compliance</w:t>
      </w:r>
    </w:p>
    <w:p>
      <w:pPr>
        <w:spacing w:after="120"/>
      </w:pPr>
    </w:p>
    <w:p>
      <w:pPr>
        <w:pBdr>
          <w:bottom w:val="single" w:color="2E75B6" w:sz="6" w:space="1"/>
        </w:pBdr>
        <w:spacing w:after="120" w:before="120"/>
      </w:pPr>
    </w:p>
    <w:p>
      <w:pPr>
        <w:pStyle w:val="Heading1"/>
        <w:spacing w:after="120" w:before="360"/>
      </w:pPr>
      <w:r>
        <w:rPr>
          <w:rFonts w:ascii="Arial" w:cs="Arial" w:eastAsia="Arial" w:hAnsi="Arial"/>
          <w:b/>
          <w:bCs/>
          <w:color w:val="1F4E79"/>
          <w:sz w:val="32"/>
          <w:szCs w:val="32"/>
        </w:rPr>
        <w:t xml:space="preserve">Current Assets Under Management</w:t>
      </w:r>
    </w:p>
    <w:p>
      <w:pPr>
        <w:spacing w:after="120"/>
      </w:pPr>
      <w:r>
        <w:rPr>
          <w:rFonts w:ascii="Arial" w:cs="Arial" w:eastAsia="Arial" w:hAnsi="Arial"/>
          <w:sz w:val="22"/>
          <w:szCs w:val="22"/>
        </w:rPr>
        <w:t xml:space="preserve">The following assets are currently managed by the IT department:</w:t>
      </w:r>
    </w:p>
    <w:p>
      <w:pPr>
        <w:pStyle w:val="ListParagraph"/>
        <w:numPr>
          <w:ilvl w:val="0"/>
          <w:numId w:val="2"/>
        </w:numPr>
        <w:spacing w:after="60"/>
      </w:pPr>
      <w:r>
        <w:rPr>
          <w:rFonts w:ascii="Arial" w:cs="Arial" w:eastAsia="Arial" w:hAnsi="Arial"/>
          <w:b w:val="false"/>
          <w:bCs w:val="false"/>
          <w:sz w:val="22"/>
          <w:szCs w:val="22"/>
        </w:rPr>
        <w:t xml:space="preserve">On-premises equipment for in-office business needs</w:t>
      </w:r>
    </w:p>
    <w:p>
      <w:pPr>
        <w:pStyle w:val="ListParagraph"/>
        <w:numPr>
          <w:ilvl w:val="0"/>
          <w:numId w:val="2"/>
        </w:numPr>
        <w:spacing w:after="60"/>
      </w:pPr>
      <w:r>
        <w:rPr>
          <w:rFonts w:ascii="Arial" w:cs="Arial" w:eastAsia="Arial" w:hAnsi="Arial"/>
          <w:b w:val="false"/>
          <w:bCs w:val="false"/>
          <w:sz w:val="22"/>
          <w:szCs w:val="22"/>
        </w:rPr>
        <w:t xml:space="preserve">Employee devices: desktops, laptops, smartphones, remote workstations, headsets, keyboards, mice, docking stations, surveillance cameras</w:t>
      </w:r>
    </w:p>
    <w:p>
      <w:pPr>
        <w:pStyle w:val="ListParagraph"/>
        <w:numPr>
          <w:ilvl w:val="0"/>
          <w:numId w:val="2"/>
        </w:numPr>
        <w:spacing w:after="60"/>
      </w:pPr>
      <w:r>
        <w:rPr>
          <w:rFonts w:ascii="Arial" w:cs="Arial" w:eastAsia="Arial" w:hAnsi="Arial"/>
          <w:b w:val="false"/>
          <w:bCs w:val="false"/>
          <w:sz w:val="22"/>
          <w:szCs w:val="22"/>
        </w:rPr>
        <w:t xml:space="preserve">Storefront products available for retail sale on-site and online; stored in the adjoining warehouse</w:t>
      </w:r>
    </w:p>
    <w:p>
      <w:pPr>
        <w:pStyle w:val="ListParagraph"/>
        <w:numPr>
          <w:ilvl w:val="0"/>
          <w:numId w:val="2"/>
        </w:numPr>
        <w:spacing w:after="60"/>
      </w:pPr>
      <w:r>
        <w:rPr>
          <w:rFonts w:ascii="Arial" w:cs="Arial" w:eastAsia="Arial" w:hAnsi="Arial"/>
          <w:b w:val="false"/>
          <w:bCs w:val="false"/>
          <w:sz w:val="22"/>
          <w:szCs w:val="22"/>
        </w:rPr>
        <w:t xml:space="preserve">Systems and services: accounting, telecommunications, database, security, e-commerce, and inventory management</w:t>
      </w:r>
    </w:p>
    <w:p>
      <w:pPr>
        <w:pStyle w:val="ListParagraph"/>
        <w:numPr>
          <w:ilvl w:val="0"/>
          <w:numId w:val="2"/>
        </w:numPr>
        <w:spacing w:after="60"/>
      </w:pPr>
      <w:r>
        <w:rPr>
          <w:rFonts w:ascii="Arial" w:cs="Arial" w:eastAsia="Arial" w:hAnsi="Arial"/>
          <w:b w:val="false"/>
          <w:bCs w:val="false"/>
          <w:sz w:val="22"/>
          <w:szCs w:val="22"/>
        </w:rPr>
        <w:t xml:space="preserve">Internet access and internal network infrastructure</w:t>
      </w:r>
    </w:p>
    <w:p>
      <w:pPr>
        <w:pStyle w:val="ListParagraph"/>
        <w:numPr>
          <w:ilvl w:val="0"/>
          <w:numId w:val="2"/>
        </w:numPr>
        <w:spacing w:after="60"/>
      </w:pPr>
      <w:r>
        <w:rPr>
          <w:rFonts w:ascii="Arial" w:cs="Arial" w:eastAsia="Arial" w:hAnsi="Arial"/>
          <w:b w:val="false"/>
          <w:bCs w:val="false"/>
          <w:sz w:val="22"/>
          <w:szCs w:val="22"/>
        </w:rPr>
        <w:t xml:space="preserve">Data retention and storage systems</w:t>
      </w:r>
    </w:p>
    <w:p>
      <w:pPr>
        <w:pStyle w:val="ListParagraph"/>
        <w:numPr>
          <w:ilvl w:val="0"/>
          <w:numId w:val="2"/>
        </w:numPr>
        <w:spacing w:after="60"/>
      </w:pPr>
      <w:r>
        <w:rPr>
          <w:rFonts w:ascii="Arial" w:cs="Arial" w:eastAsia="Arial" w:hAnsi="Arial"/>
          <w:b w:val="false"/>
          <w:bCs w:val="false"/>
          <w:sz w:val="22"/>
          <w:szCs w:val="22"/>
        </w:rPr>
        <w:t xml:space="preserve">Legacy systems requiring human monitoring (end-of-life)</w:t>
      </w:r>
    </w:p>
    <w:p>
      <w:pPr>
        <w:spacing w:after="120"/>
      </w:pPr>
    </w:p>
    <w:p>
      <w:pPr>
        <w:pBdr>
          <w:bottom w:val="single" w:color="2E75B6" w:sz="6" w:space="1"/>
        </w:pBdr>
        <w:spacing w:after="120" w:before="120"/>
      </w:pPr>
    </w:p>
    <w:p>
      <w:pPr>
        <w:pStyle w:val="Heading1"/>
        <w:spacing w:after="120" w:before="360"/>
      </w:pPr>
      <w:r>
        <w:rPr>
          <w:rFonts w:ascii="Arial" w:cs="Arial" w:eastAsia="Arial" w:hAnsi="Arial"/>
          <w:b/>
          <w:bCs/>
          <w:color w:val="1F4E79"/>
          <w:sz w:val="32"/>
          <w:szCs w:val="32"/>
        </w:rPr>
        <w:t xml:space="preserve">Risk Assessment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Factor</w:t>
            </w:r>
          </w:p>
        </w:tc>
        <w:tc>
          <w:tcPr>
            <w:tcW w:type="dxa" w:w="624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Risk Score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C0006"/>
                <w:sz w:val="20"/>
                <w:szCs w:val="20"/>
              </w:rPr>
              <w:t xml:space="preserve">8 / 10 (High) — due to lack of controls and compliance adherence</w:t>
            </w:r>
          </w:p>
        </w:tc>
      </w:tr>
      <w:tr>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Asset Impact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 IT department lacks full asset visibility</w:t>
            </w:r>
          </w:p>
        </w:tc>
      </w:tr>
      <w:tr>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Regulatory Risk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Non-compliance with PCI DSS, GDPR may result in fines</w:t>
            </w:r>
          </w:p>
        </w:tc>
      </w:tr>
    </w:tbl>
    <w:p>
      <w:pPr>
        <w:spacing w:after="200"/>
      </w:pPr>
    </w:p>
    <w:p>
      <w:pPr>
        <w:pBdr>
          <w:bottom w:val="single" w:color="2E75B6" w:sz="6" w:space="1"/>
        </w:pBdr>
        <w:spacing w:after="120" w:before="120"/>
      </w:pPr>
    </w:p>
    <w:p>
      <w:pPr>
        <w:pStyle w:val="Heading1"/>
        <w:spacing w:after="120" w:before="360"/>
      </w:pPr>
      <w:r>
        <w:rPr>
          <w:rFonts w:ascii="Arial" w:cs="Arial" w:eastAsia="Arial" w:hAnsi="Arial"/>
          <w:b/>
          <w:bCs/>
          <w:color w:val="1F4E79"/>
          <w:sz w:val="32"/>
          <w:szCs w:val="32"/>
        </w:rPr>
        <w:t xml:space="preserve">Controls &amp; Compliance Checklist</w:t>
      </w:r>
    </w:p>
    <w:p>
      <w:pPr>
        <w:pStyle w:val="Heading2"/>
        <w:spacing w:after="80" w:before="240"/>
      </w:pPr>
      <w:r>
        <w:rPr>
          <w:rFonts w:ascii="Arial" w:cs="Arial" w:eastAsia="Arial" w:hAnsi="Arial"/>
          <w:b/>
          <w:bCs/>
          <w:color w:val="2E75B6"/>
          <w:sz w:val="26"/>
          <w:szCs w:val="26"/>
        </w:rPr>
        <w:t xml:space="preserve">Administrative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W w:type="dxa" w:w="792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Control / Best Practice</w:t>
            </w:r>
          </w:p>
        </w:tc>
        <w:tc>
          <w:tcPr>
            <w:tcW w:type="dxa" w:w="144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 Place?</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Least Privilege — Employee access is limited to job-specific data only</w:t>
            </w:r>
          </w:p>
        </w:tc>
        <w:tc>
          <w:tcPr>
            <w:tcW w:type="dxa" w:w="14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9C0006"/>
                <w:sz w:val="20"/>
                <w:szCs w:val="20"/>
              </w:rPr>
              <w:t xml:space="preserve">NO</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Disaster Recovery Plans — Formal plans exist to restore operations after an incident</w:t>
            </w:r>
          </w:p>
        </w:tc>
        <w:tc>
          <w:tcPr>
            <w:tcW w:type="dxa" w:w="14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9C0006"/>
                <w:sz w:val="20"/>
                <w:szCs w:val="20"/>
              </w:rPr>
              <w:t xml:space="preserve">NO</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 Policies — Strong password requirements (8+ chars, mixed case, numbers, symbols)</w:t>
            </w:r>
          </w:p>
        </w:tc>
        <w:tc>
          <w:tcPr>
            <w:tcW w:type="dxa" w:w="14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9C0006"/>
                <w:sz w:val="20"/>
                <w:szCs w:val="20"/>
              </w:rPr>
              <w:t xml:space="preserve">NO</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 Control Policies — Policies defining who can access what systems and data</w:t>
            </w:r>
          </w:p>
        </w:tc>
        <w:tc>
          <w:tcPr>
            <w:tcW w:type="dxa" w:w="14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9C0006"/>
                <w:sz w:val="20"/>
                <w:szCs w:val="20"/>
              </w:rPr>
              <w:t xml:space="preserve">NO</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Management Policies — Processes for onboarding/offboarding and access reviews</w:t>
            </w:r>
          </w:p>
        </w:tc>
        <w:tc>
          <w:tcPr>
            <w:tcW w:type="dxa" w:w="14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9C0006"/>
                <w:sz w:val="20"/>
                <w:szCs w:val="20"/>
              </w:rPr>
              <w:t xml:space="preserve">NO</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Separation of Duties — Critical functions are split to prevent single-user abuse</w:t>
            </w:r>
          </w:p>
        </w:tc>
        <w:tc>
          <w:tcPr>
            <w:tcW w:type="dxa" w:w="14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9C0006"/>
                <w:sz w:val="20"/>
                <w:szCs w:val="20"/>
              </w:rPr>
              <w:t xml:space="preserve">NO</w:t>
            </w:r>
          </w:p>
        </w:tc>
      </w:tr>
    </w:tbl>
    <w:p>
      <w:pPr>
        <w:spacing w:after="200"/>
      </w:pPr>
    </w:p>
    <w:p>
      <w:pPr>
        <w:pStyle w:val="Heading2"/>
        <w:spacing w:after="80" w:before="240"/>
      </w:pPr>
      <w:r>
        <w:rPr>
          <w:rFonts w:ascii="Arial" w:cs="Arial" w:eastAsia="Arial" w:hAnsi="Arial"/>
          <w:b/>
          <w:bCs/>
          <w:color w:val="2E75B6"/>
          <w:sz w:val="26"/>
          <w:szCs w:val="26"/>
        </w:rPr>
        <w:t xml:space="preserve">Technical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W w:type="dxa" w:w="792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Control / Best Practice</w:t>
            </w:r>
          </w:p>
        </w:tc>
        <w:tc>
          <w:tcPr>
            <w:tcW w:type="dxa" w:w="144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 Place?</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Firewall — Traffic is filtered using a defined security rule set</w:t>
            </w:r>
          </w:p>
        </w:tc>
        <w:tc>
          <w:tcPr>
            <w:tcW w:type="dxa" w:w="144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YES</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Intrusion Detection System (IDS) — System actively monitors for suspicious activity</w:t>
            </w:r>
          </w:p>
        </w:tc>
        <w:tc>
          <w:tcPr>
            <w:tcW w:type="dxa" w:w="14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9C0006"/>
                <w:sz w:val="20"/>
                <w:szCs w:val="20"/>
              </w:rPr>
              <w:t xml:space="preserve">NO</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Encryption — Sensitive data (credit card, PII) is encrypted at rest and in transit</w:t>
            </w:r>
          </w:p>
        </w:tc>
        <w:tc>
          <w:tcPr>
            <w:tcW w:type="dxa" w:w="14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9C0006"/>
                <w:sz w:val="20"/>
                <w:szCs w:val="20"/>
              </w:rPr>
              <w:t xml:space="preserve">NO</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Backups — Critical data is backed up regularly and tested for recovery</w:t>
            </w:r>
          </w:p>
        </w:tc>
        <w:tc>
          <w:tcPr>
            <w:tcW w:type="dxa" w:w="14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9C0006"/>
                <w:sz w:val="20"/>
                <w:szCs w:val="20"/>
              </w:rPr>
              <w:t xml:space="preserve">NO</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Antivirus Software — Installed and regularly monitored</w:t>
            </w:r>
          </w:p>
        </w:tc>
        <w:tc>
          <w:tcPr>
            <w:tcW w:type="dxa" w:w="144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YES</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Legacy System Monitoring — Monitored per a defined schedule with clear intervention methods</w:t>
            </w:r>
          </w:p>
        </w:tc>
        <w:tc>
          <w:tcPr>
            <w:tcW w:type="dxa" w:w="14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9C0006"/>
                <w:sz w:val="20"/>
                <w:szCs w:val="20"/>
              </w:rPr>
              <w:t xml:space="preserve">NO</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Centralized Password Management — Tool enforcing password policy requirements</w:t>
            </w:r>
          </w:p>
        </w:tc>
        <w:tc>
          <w:tcPr>
            <w:tcW w:type="dxa" w:w="14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9C0006"/>
                <w:sz w:val="20"/>
                <w:szCs w:val="20"/>
              </w:rPr>
              <w:t xml:space="preserve">NO</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Integrity Controls — Controls ensuring data accuracy and completeness</w:t>
            </w:r>
          </w:p>
        </w:tc>
        <w:tc>
          <w:tcPr>
            <w:tcW w:type="dxa" w:w="144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YES</w:t>
            </w:r>
          </w:p>
        </w:tc>
      </w:tr>
    </w:tbl>
    <w:p>
      <w:pPr>
        <w:spacing w:after="200"/>
      </w:pPr>
    </w:p>
    <w:p>
      <w:pPr>
        <w:pStyle w:val="Heading2"/>
        <w:spacing w:after="80" w:before="240"/>
      </w:pPr>
      <w:r>
        <w:rPr>
          <w:rFonts w:ascii="Arial" w:cs="Arial" w:eastAsia="Arial" w:hAnsi="Arial"/>
          <w:b/>
          <w:bCs/>
          <w:color w:val="2E75B6"/>
          <w:sz w:val="26"/>
          <w:szCs w:val="26"/>
        </w:rPr>
        <w:t xml:space="preserve">Physical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W w:type="dxa" w:w="792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Control / Best Practice</w:t>
            </w:r>
          </w:p>
        </w:tc>
        <w:tc>
          <w:tcPr>
            <w:tcW w:type="dxa" w:w="144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 Place?</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 Locks — Main office, storefront, and warehouse are secured with locks</w:t>
            </w:r>
          </w:p>
        </w:tc>
        <w:tc>
          <w:tcPr>
            <w:tcW w:type="dxa" w:w="144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YES</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CCTV Surveillance — Up-to-date closed-circuit television is operational</w:t>
            </w:r>
          </w:p>
        </w:tc>
        <w:tc>
          <w:tcPr>
            <w:tcW w:type="dxa" w:w="144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YES</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 Detection &amp; Prevention — Functioning fire detection and suppression systems</w:t>
            </w:r>
          </w:p>
        </w:tc>
        <w:tc>
          <w:tcPr>
            <w:tcW w:type="dxa" w:w="144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YES</w:t>
            </w:r>
          </w:p>
        </w:tc>
      </w:tr>
    </w:tbl>
    <w:p>
      <w:pPr>
        <w:spacing w:after="200"/>
      </w:pPr>
    </w:p>
    <w:p>
      <w:pPr>
        <w:pStyle w:val="Heading2"/>
        <w:spacing w:after="80" w:before="240"/>
      </w:pPr>
      <w:r>
        <w:rPr>
          <w:rFonts w:ascii="Arial" w:cs="Arial" w:eastAsia="Arial" w:hAnsi="Arial"/>
          <w:b/>
          <w:bCs/>
          <w:color w:val="2E75B6"/>
          <w:sz w:val="26"/>
          <w:szCs w:val="26"/>
        </w:rPr>
        <w:t xml:space="preserve">PCI DSS Compliance (Payment Card Industry Data Security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W w:type="dxa" w:w="792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Control / Best Practice</w:t>
            </w:r>
          </w:p>
        </w:tc>
        <w:tc>
          <w:tcPr>
            <w:tcW w:type="dxa" w:w="144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 Place?</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authorized users have access to cardholder data</w:t>
            </w:r>
          </w:p>
        </w:tc>
        <w:tc>
          <w:tcPr>
            <w:tcW w:type="dxa" w:w="14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9C0006"/>
                <w:sz w:val="20"/>
                <w:szCs w:val="20"/>
              </w:rPr>
              <w:t xml:space="preserve">NO</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 card data is securely stored, processed, and transmitted</w:t>
            </w:r>
          </w:p>
        </w:tc>
        <w:tc>
          <w:tcPr>
            <w:tcW w:type="dxa" w:w="14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9C0006"/>
                <w:sz w:val="20"/>
                <w:szCs w:val="20"/>
              </w:rPr>
              <w:t xml:space="preserve">NO</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encryption is implemented for cardholder data storage and transmission</w:t>
            </w:r>
          </w:p>
        </w:tc>
        <w:tc>
          <w:tcPr>
            <w:tcW w:type="dxa" w:w="14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9C0006"/>
                <w:sz w:val="20"/>
                <w:szCs w:val="20"/>
              </w:rPr>
              <w:t xml:space="preserve">NO</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Secure password management policies are adopted and enforced</w:t>
            </w:r>
          </w:p>
        </w:tc>
        <w:tc>
          <w:tcPr>
            <w:tcW w:type="dxa" w:w="14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9C0006"/>
                <w:sz w:val="20"/>
                <w:szCs w:val="20"/>
              </w:rPr>
              <w:t xml:space="preserve">NO</w:t>
            </w:r>
          </w:p>
        </w:tc>
      </w:tr>
    </w:tbl>
    <w:p>
      <w:pPr>
        <w:spacing w:after="200"/>
      </w:pPr>
    </w:p>
    <w:p>
      <w:pPr>
        <w:pStyle w:val="Heading2"/>
        <w:spacing w:after="80" w:before="240"/>
      </w:pPr>
      <w:r>
        <w:rPr>
          <w:rFonts w:ascii="Arial" w:cs="Arial" w:eastAsia="Arial" w:hAnsi="Arial"/>
          <w:b/>
          <w:bCs/>
          <w:color w:val="2E75B6"/>
          <w:sz w:val="26"/>
          <w:szCs w:val="26"/>
        </w:rPr>
        <w:t xml:space="preserve">GDPR Compliance (General Data Protection Regulation — E.U.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W w:type="dxa" w:w="792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Control / Best Practice</w:t>
            </w:r>
          </w:p>
        </w:tc>
        <w:tc>
          <w:tcPr>
            <w:tcW w:type="dxa" w:w="144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 Place?</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 customer data is kept private and secure</w:t>
            </w:r>
          </w:p>
        </w:tc>
        <w:tc>
          <w:tcPr>
            <w:tcW w:type="dxa" w:w="14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9C0006"/>
                <w:sz w:val="20"/>
                <w:szCs w:val="20"/>
              </w:rPr>
              <w:t xml:space="preserve">NO</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breach notification plan exists to notify E.U. customers within 72 hours</w:t>
            </w:r>
          </w:p>
        </w:tc>
        <w:tc>
          <w:tcPr>
            <w:tcW w:type="dxa" w:w="144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YES</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is properly classified and inventoried</w:t>
            </w:r>
          </w:p>
        </w:tc>
        <w:tc>
          <w:tcPr>
            <w:tcW w:type="dxa" w:w="14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9C0006"/>
                <w:sz w:val="20"/>
                <w:szCs w:val="20"/>
              </w:rPr>
              <w:t xml:space="preserve">NO</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 policies, procedures, and processes are enforced</w:t>
            </w:r>
          </w:p>
        </w:tc>
        <w:tc>
          <w:tcPr>
            <w:tcW w:type="dxa" w:w="144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YES</w:t>
            </w:r>
          </w:p>
        </w:tc>
      </w:tr>
    </w:tbl>
    <w:p>
      <w:pPr>
        <w:spacing w:after="200"/>
      </w:pPr>
    </w:p>
    <w:p>
      <w:pPr>
        <w:pStyle w:val="Heading2"/>
        <w:spacing w:after="80" w:before="240"/>
      </w:pPr>
      <w:r>
        <w:rPr>
          <w:rFonts w:ascii="Arial" w:cs="Arial" w:eastAsia="Arial" w:hAnsi="Arial"/>
          <w:b/>
          <w:bCs/>
          <w:color w:val="2E75B6"/>
          <w:sz w:val="26"/>
          <w:szCs w:val="26"/>
        </w:rPr>
        <w:t xml:space="preserve">SOC Type 1 / SOC Type 2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W w:type="dxa" w:w="792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Control / Best Practice</w:t>
            </w:r>
          </w:p>
        </w:tc>
        <w:tc>
          <w:tcPr>
            <w:tcW w:type="dxa" w:w="144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 Place?</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access policies are established for internal and external users</w:t>
            </w:r>
          </w:p>
        </w:tc>
        <w:tc>
          <w:tcPr>
            <w:tcW w:type="dxa" w:w="14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9C0006"/>
                <w:sz w:val="20"/>
                <w:szCs w:val="20"/>
              </w:rPr>
              <w:t xml:space="preserve">NO</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Sensitive data (PII/SPII) is kept confidential and private</w:t>
            </w:r>
          </w:p>
        </w:tc>
        <w:tc>
          <w:tcPr>
            <w:tcW w:type="dxa" w:w="14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9C0006"/>
                <w:sz w:val="20"/>
                <w:szCs w:val="20"/>
              </w:rPr>
              <w:t xml:space="preserve">NO</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integrity ensures information is consistent, complete, and accurate</w:t>
            </w:r>
          </w:p>
        </w:tc>
        <w:tc>
          <w:tcPr>
            <w:tcW w:type="dxa" w:w="144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YES</w:t>
            </w:r>
          </w:p>
        </w:tc>
      </w:tr>
      <w:tr>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is accessible to authorized individuals only</w:t>
            </w:r>
          </w:p>
        </w:tc>
        <w:tc>
          <w:tcPr>
            <w:tcW w:type="dxa" w:w="14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9C0006"/>
                <w:sz w:val="20"/>
                <w:szCs w:val="20"/>
              </w:rPr>
              <w:t xml:space="preserve">NO</w:t>
            </w:r>
          </w:p>
        </w:tc>
      </w:tr>
    </w:tbl>
    <w:p>
      <w:pPr>
        <w:spacing w:after="200"/>
      </w:pPr>
    </w:p>
    <w:p>
      <w:pPr>
        <w:pBdr>
          <w:bottom w:val="single" w:color="2E75B6" w:sz="6" w:space="1"/>
        </w:pBdr>
        <w:spacing w:after="120" w:before="120"/>
      </w:pPr>
    </w:p>
    <w:p>
      <w:pPr>
        <w:pStyle w:val="Heading1"/>
        <w:spacing w:after="120" w:before="360"/>
      </w:pPr>
      <w:r>
        <w:rPr>
          <w:rFonts w:ascii="Arial" w:cs="Arial" w:eastAsia="Arial" w:hAnsi="Arial"/>
          <w:b/>
          <w:bCs/>
          <w:color w:val="1F4E79"/>
          <w:sz w:val="32"/>
          <w:szCs w:val="32"/>
        </w:rPr>
        <w:t xml:space="preserve">Key Findings</w:t>
      </w:r>
    </w:p>
    <w:p>
      <w:pPr>
        <w:pStyle w:val="Heading2"/>
        <w:spacing w:after="80" w:before="240"/>
      </w:pPr>
      <w:r>
        <w:rPr>
          <w:rFonts w:ascii="Arial" w:cs="Arial" w:eastAsia="Arial" w:hAnsi="Arial"/>
          <w:b/>
          <w:bCs/>
          <w:color w:val="2E75B6"/>
          <w:sz w:val="26"/>
          <w:szCs w:val="26"/>
        </w:rPr>
        <w:t xml:space="preserve">Critical Gaps Identified</w:t>
      </w:r>
    </w:p>
    <w:p>
      <w:pPr>
        <w:pStyle w:val="ListParagraph"/>
        <w:numPr>
          <w:ilvl w:val="0"/>
          <w:numId w:val="2"/>
        </w:numPr>
        <w:spacing w:after="60"/>
      </w:pPr>
      <w:r>
        <w:rPr>
          <w:rFonts w:ascii="Arial" w:cs="Arial" w:eastAsia="Arial" w:hAnsi="Arial"/>
          <w:b w:val="false"/>
          <w:bCs w:val="false"/>
          <w:sz w:val="22"/>
          <w:szCs w:val="22"/>
        </w:rPr>
        <w:t xml:space="preserve">No encryption for credit card data or PII — violates PCI DSS and GDPR</w:t>
      </w:r>
    </w:p>
    <w:p>
      <w:pPr>
        <w:pStyle w:val="ListParagraph"/>
        <w:numPr>
          <w:ilvl w:val="0"/>
          <w:numId w:val="2"/>
        </w:numPr>
        <w:spacing w:after="60"/>
      </w:pPr>
      <w:r>
        <w:rPr>
          <w:rFonts w:ascii="Arial" w:cs="Arial" w:eastAsia="Arial" w:hAnsi="Arial"/>
          <w:b w:val="false"/>
          <w:bCs w:val="false"/>
          <w:sz w:val="22"/>
          <w:szCs w:val="22"/>
        </w:rPr>
        <w:t xml:space="preserve">All employees can access all internally stored data — no least privilege or separation of duties</w:t>
      </w:r>
    </w:p>
    <w:p>
      <w:pPr>
        <w:pStyle w:val="ListParagraph"/>
        <w:numPr>
          <w:ilvl w:val="0"/>
          <w:numId w:val="2"/>
        </w:numPr>
        <w:spacing w:after="60"/>
      </w:pPr>
      <w:r>
        <w:rPr>
          <w:rFonts w:ascii="Arial" w:cs="Arial" w:eastAsia="Arial" w:hAnsi="Arial"/>
          <w:b w:val="false"/>
          <w:bCs w:val="false"/>
          <w:sz w:val="22"/>
          <w:szCs w:val="22"/>
        </w:rPr>
        <w:t xml:space="preserve">No intrusion detection system (IDS) in place — threats may go undetected</w:t>
      </w:r>
    </w:p>
    <w:p>
      <w:pPr>
        <w:pStyle w:val="ListParagraph"/>
        <w:numPr>
          <w:ilvl w:val="0"/>
          <w:numId w:val="2"/>
        </w:numPr>
        <w:spacing w:after="60"/>
      </w:pPr>
      <w:r>
        <w:rPr>
          <w:rFonts w:ascii="Arial" w:cs="Arial" w:eastAsia="Arial" w:hAnsi="Arial"/>
          <w:b w:val="false"/>
          <w:bCs w:val="false"/>
          <w:sz w:val="22"/>
          <w:szCs w:val="22"/>
        </w:rPr>
        <w:t xml:space="preserve">No disaster recovery plan or data backups — business continuity at serious risk</w:t>
      </w:r>
    </w:p>
    <w:p>
      <w:pPr>
        <w:pStyle w:val="ListParagraph"/>
        <w:numPr>
          <w:ilvl w:val="0"/>
          <w:numId w:val="2"/>
        </w:numPr>
        <w:spacing w:after="60"/>
      </w:pPr>
      <w:r>
        <w:rPr>
          <w:rFonts w:ascii="Arial" w:cs="Arial" w:eastAsia="Arial" w:hAnsi="Arial"/>
          <w:b w:val="false"/>
          <w:bCs w:val="false"/>
          <w:sz w:val="22"/>
          <w:szCs w:val="22"/>
        </w:rPr>
        <w:t xml:space="preserve">Password policy exists but is weak and unenforced by any central system</w:t>
      </w:r>
    </w:p>
    <w:p>
      <w:pPr>
        <w:pStyle w:val="ListParagraph"/>
        <w:numPr>
          <w:ilvl w:val="0"/>
          <w:numId w:val="2"/>
        </w:numPr>
        <w:spacing w:after="60"/>
      </w:pPr>
      <w:r>
        <w:rPr>
          <w:rFonts w:ascii="Arial" w:cs="Arial" w:eastAsia="Arial" w:hAnsi="Arial"/>
          <w:b w:val="false"/>
          <w:bCs w:val="false"/>
          <w:sz w:val="22"/>
          <w:szCs w:val="22"/>
        </w:rPr>
        <w:t xml:space="preserve">No regular maintenance schedule or defined intervention methods for legacy systems</w:t>
      </w:r>
    </w:p>
    <w:p>
      <w:pPr>
        <w:spacing w:after="120"/>
      </w:pPr>
    </w:p>
    <w:p>
      <w:pPr>
        <w:pStyle w:val="Heading2"/>
        <w:spacing w:after="80" w:before="240"/>
      </w:pPr>
      <w:r>
        <w:rPr>
          <w:rFonts w:ascii="Arial" w:cs="Arial" w:eastAsia="Arial" w:hAnsi="Arial"/>
          <w:b/>
          <w:bCs/>
          <w:color w:val="2E75B6"/>
          <w:sz w:val="26"/>
          <w:szCs w:val="26"/>
        </w:rPr>
        <w:t xml:space="preserve">Controls Currently in Place</w:t>
      </w:r>
    </w:p>
    <w:p>
      <w:pPr>
        <w:pStyle w:val="ListParagraph"/>
        <w:numPr>
          <w:ilvl w:val="0"/>
          <w:numId w:val="2"/>
        </w:numPr>
        <w:spacing w:after="60"/>
      </w:pPr>
      <w:r>
        <w:rPr>
          <w:rFonts w:ascii="Arial" w:cs="Arial" w:eastAsia="Arial" w:hAnsi="Arial"/>
          <w:b w:val="false"/>
          <w:bCs w:val="false"/>
          <w:sz w:val="22"/>
          <w:szCs w:val="22"/>
        </w:rPr>
        <w:t xml:space="preserve">Firewall with defined security rules is operational</w:t>
      </w:r>
    </w:p>
    <w:p>
      <w:pPr>
        <w:pStyle w:val="ListParagraph"/>
        <w:numPr>
          <w:ilvl w:val="0"/>
          <w:numId w:val="2"/>
        </w:numPr>
        <w:spacing w:after="60"/>
      </w:pPr>
      <w:r>
        <w:rPr>
          <w:rFonts w:ascii="Arial" w:cs="Arial" w:eastAsia="Arial" w:hAnsi="Arial"/>
          <w:b w:val="false"/>
          <w:bCs w:val="false"/>
          <w:sz w:val="22"/>
          <w:szCs w:val="22"/>
        </w:rPr>
        <w:t xml:space="preserve">Antivirus software is installed and actively monitored</w:t>
      </w:r>
    </w:p>
    <w:p>
      <w:pPr>
        <w:pStyle w:val="ListParagraph"/>
        <w:numPr>
          <w:ilvl w:val="0"/>
          <w:numId w:val="2"/>
        </w:numPr>
        <w:spacing w:after="60"/>
      </w:pPr>
      <w:r>
        <w:rPr>
          <w:rFonts w:ascii="Arial" w:cs="Arial" w:eastAsia="Arial" w:hAnsi="Arial"/>
          <w:b w:val="false"/>
          <w:bCs w:val="false"/>
          <w:sz w:val="22"/>
          <w:szCs w:val="22"/>
        </w:rPr>
        <w:t xml:space="preserve">Physical security is strong: locks, CCTV, and fire prevention are in place</w:t>
      </w:r>
    </w:p>
    <w:p>
      <w:pPr>
        <w:pStyle w:val="ListParagraph"/>
        <w:numPr>
          <w:ilvl w:val="0"/>
          <w:numId w:val="2"/>
        </w:numPr>
        <w:spacing w:after="60"/>
      </w:pPr>
      <w:r>
        <w:rPr>
          <w:rFonts w:ascii="Arial" w:cs="Arial" w:eastAsia="Arial" w:hAnsi="Arial"/>
          <w:b w:val="false"/>
          <w:bCs w:val="false"/>
          <w:sz w:val="22"/>
          <w:szCs w:val="22"/>
        </w:rPr>
        <w:t xml:space="preserve">Data integrity controls have been integrated by the IT department</w:t>
      </w:r>
    </w:p>
    <w:p>
      <w:pPr>
        <w:pStyle w:val="ListParagraph"/>
        <w:numPr>
          <w:ilvl w:val="0"/>
          <w:numId w:val="2"/>
        </w:numPr>
        <w:spacing w:after="60"/>
      </w:pPr>
      <w:r>
        <w:rPr>
          <w:rFonts w:ascii="Arial" w:cs="Arial" w:eastAsia="Arial" w:hAnsi="Arial"/>
          <w:b w:val="false"/>
          <w:bCs w:val="false"/>
          <w:sz w:val="22"/>
          <w:szCs w:val="22"/>
        </w:rPr>
        <w:t xml:space="preserve">GDPR breach notification plan is established (72-hour window)</w:t>
      </w:r>
    </w:p>
    <w:p>
      <w:pPr>
        <w:pStyle w:val="ListParagraph"/>
        <w:numPr>
          <w:ilvl w:val="0"/>
          <w:numId w:val="2"/>
        </w:numPr>
        <w:spacing w:after="60"/>
      </w:pPr>
      <w:r>
        <w:rPr>
          <w:rFonts w:ascii="Arial" w:cs="Arial" w:eastAsia="Arial" w:hAnsi="Arial"/>
          <w:b w:val="false"/>
          <w:bCs w:val="false"/>
          <w:sz w:val="22"/>
          <w:szCs w:val="22"/>
        </w:rPr>
        <w:t xml:space="preserve">Privacy policies are documented and enforced among IT staff</w:t>
      </w:r>
    </w:p>
    <w:p>
      <w:pPr>
        <w:spacing w:after="120"/>
      </w:pPr>
    </w:p>
    <w:p>
      <w:pPr>
        <w:pBdr>
          <w:bottom w:val="single" w:color="2E75B6" w:sz="6" w:space="1"/>
        </w:pBdr>
        <w:spacing w:after="120" w:before="120"/>
      </w:pPr>
    </w:p>
    <w:p>
      <w:pPr>
        <w:pStyle w:val="Heading1"/>
        <w:spacing w:after="120" w:before="360"/>
      </w:pPr>
      <w:r>
        <w:rPr>
          <w:rFonts w:ascii="Arial" w:cs="Arial" w:eastAsia="Arial" w:hAnsi="Arial"/>
          <w:b/>
          <w:bCs/>
          <w:color w:val="1F4E79"/>
          <w:sz w:val="32"/>
          <w:szCs w:val="32"/>
        </w:rPr>
        <w:t xml:space="preserve">Recommendations to the IT Manager</w:t>
      </w:r>
    </w:p>
    <w:p>
      <w:pPr>
        <w:spacing w:after="120"/>
      </w:pPr>
      <w:r>
        <w:rPr>
          <w:rFonts w:ascii="Arial" w:cs="Arial" w:eastAsia="Arial" w:hAnsi="Arial"/>
          <w:sz w:val="22"/>
          <w:szCs w:val="22"/>
        </w:rPr>
        <w:t xml:space="preserve">Based on the audit findings, the following actions are recommended to be prioritized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c>
          <w:tcPr>
            <w:tcW w:type="dxa" w:w="468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Recommendation</w:t>
            </w:r>
          </w:p>
        </w:tc>
        <w:tc>
          <w:tcPr>
            <w:tcW w:type="dxa" w:w="312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Addresses</w:t>
            </w:r>
          </w:p>
        </w:tc>
      </w:tr>
      <w:tr>
        <w:tc>
          <w:tcPr>
            <w:tcW w:type="dxa" w:w="15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1 — Critical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 data encryption for all stored and transmitted cardholder data and PII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PCI DSS, GDPR</w:t>
            </w:r>
          </w:p>
        </w:tc>
      </w:tr>
      <w:tr>
        <w:tc>
          <w:tcPr>
            <w:tcW w:type="dxa" w:w="15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2 — Critical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Apply least privilege access controls and separate duties for sensitive systems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SOC, PCI DSS</w:t>
            </w:r>
          </w:p>
        </w:tc>
      </w:tr>
      <w:tr>
        <w:tc>
          <w:tcPr>
            <w:tcW w:type="dxa" w:w="15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3 — Critical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Develop and test a disaster recovery plan; implement automated data backups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Business Continuity</w:t>
            </w:r>
          </w:p>
        </w:tc>
      </w:tr>
      <w:tr>
        <w:tc>
          <w:tcPr>
            <w:tcW w:type="dxa" w:w="15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sz w:val="18"/>
                <w:szCs w:val="18"/>
              </w:rPr>
              <w:t xml:space="preserve">4 — High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Deploy an Intrusion Detection System (IDS) to monitor network activity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Threat Detection</w:t>
            </w:r>
          </w:p>
        </w:tc>
      </w:tr>
      <w:tr>
        <w:tc>
          <w:tcPr>
            <w:tcW w:type="dxa" w:w="15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sz w:val="18"/>
                <w:szCs w:val="18"/>
              </w:rPr>
              <w:t xml:space="preserve">5 — High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 a centralized password management system with enforced complexity rules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PCI DSS, SOC</w:t>
            </w:r>
          </w:p>
        </w:tc>
      </w:tr>
      <w:tr>
        <w:tc>
          <w:tcPr>
            <w:tcW w:type="dxa" w:w="15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sz w:val="18"/>
                <w:szCs w:val="18"/>
              </w:rPr>
              <w:t xml:space="preserve">6 — High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Conduct a full asset inventory and classify all assets by sensitivity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NIST CSF – Identify</w:t>
            </w:r>
          </w:p>
        </w:tc>
      </w:tr>
      <w:tr>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7 — Medium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Establish a formal legacy system maintenance schedule with documented procedures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Operational Risk</w:t>
            </w:r>
          </w:p>
        </w:tc>
      </w:tr>
      <w:tr>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8 — Medium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Expand GDPR privacy policy enforcement beyond the IT department to all staff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GDPR</w:t>
            </w:r>
          </w:p>
        </w:tc>
      </w:tr>
    </w:tbl>
    <w:p>
      <w:pPr>
        <w:spacing w:after="200"/>
      </w:pPr>
    </w:p>
    <w:p>
      <w:pPr>
        <w:pBdr>
          <w:bottom w:val="single" w:color="2E75B6" w:sz="6" w:space="1"/>
        </w:pBdr>
        <w:spacing w:after="120" w:before="120"/>
      </w:pPr>
    </w:p>
    <w:p>
      <w:pPr>
        <w:spacing w:before="240"/>
        <w:jc w:val="center"/>
      </w:pPr>
      <w:r>
        <w:rPr>
          <w:rFonts w:ascii="Arial" w:cs="Arial" w:eastAsia="Arial" w:hAnsi="Arial"/>
          <w:i/>
          <w:iCs/>
          <w:color w:val="595959"/>
          <w:sz w:val="18"/>
          <w:szCs w:val="18"/>
        </w:rPr>
        <w:t xml:space="preserve">This audit was conducted using the NIST Cybersecurity Framework (NIST CSF). </w:t>
      </w:r>
    </w:p>
    <w:p>
      <w:pPr>
        <w:jc w:val="center"/>
      </w:pPr>
      <w:r>
        <w:rPr>
          <w:rFonts w:ascii="Arial" w:cs="Arial" w:eastAsia="Arial" w:hAnsi="Arial"/>
          <w:i/>
          <w:iCs/>
          <w:color w:val="595959"/>
          <w:sz w:val="18"/>
          <w:szCs w:val="18"/>
        </w:rPr>
        <w:t xml:space="preserve">Botium Toys Internal Security Audit  |  April 2026  |  Portfolio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2026-04-21T17:43:55.029Z</dcterms:created>
  <dcterms:modified xsi:type="dcterms:W3CDTF">2026-04-21T17:43:55.048Z</dcterms:modified>
</cp:coreProperties>
</file>

<file path=docProps/custom.xml><?xml version="1.0" encoding="utf-8"?>
<Properties xmlns="http://schemas.openxmlformats.org/officeDocument/2006/custom-properties" xmlns:vt="http://schemas.openxmlformats.org/officeDocument/2006/docPropsVTypes"/>
</file>