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CC0015"/>
          <w:sz w:val="72"/>
          <w:szCs w:val="72"/>
        </w:rPr>
        <w:t xml:space="preserve">H&amp;M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A1A24"/>
          <w:spacing w:val="160"/>
          <w:sz w:val="28"/>
          <w:szCs w:val="28"/>
        </w:rPr>
        <w:t xml:space="preserve">PEOPLE PLATFORM</w:t>
      </w:r>
    </w:p>
    <w:p>
      <w:pPr>
        <w:pBdr>
          <w:bottom w:val="single" w:color="CC0015" w:sz="12" w:space="8"/>
        </w:pBdr>
        <w:spacing w:after="40"/>
      </w:pPr>
      <w:r>
        <w:rPr>
          <w:rFonts w:ascii="Arial" w:cs="Arial" w:eastAsia="Arial" w:hAnsi="Arial"/>
          <w:i/>
          <w:iCs/>
          <w:color w:val="4A4A5C"/>
          <w:sz w:val="24"/>
          <w:szCs w:val="24"/>
        </w:rPr>
        <w:t xml:space="preserve">HRIS Specification Summary</w:t>
      </w:r>
    </w:p>
    <w:p>
      <w:pPr>
        <w:spacing w:after="10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color w:val="1A1A24"/>
          <w:sz w:val="22"/>
          <w:szCs w:val="22"/>
        </w:rPr>
        <w:t xml:space="preserve">System Type: </w:t>
      </w:r>
      <w:r>
        <w:rPr>
          <w:rFonts w:ascii="Arial" w:cs="Arial" w:eastAsia="Arial" w:hAnsi="Arial"/>
          <w:color w:val="4A4A5C"/>
          <w:sz w:val="22"/>
          <w:szCs w:val="22"/>
        </w:rPr>
        <w:t xml:space="preserve">Enterprise HRIS (Workday / Dayforce-style)    </w:t>
      </w:r>
      <w:r>
        <w:rPr>
          <w:rFonts w:ascii="Arial" w:cs="Arial" w:eastAsia="Arial" w:hAnsi="Arial"/>
          <w:b/>
          <w:bCs/>
          <w:color w:val="1A1A24"/>
          <w:sz w:val="22"/>
          <w:szCs w:val="22"/>
        </w:rPr>
        <w:t xml:space="preserve">Tenant Model: </w:t>
      </w:r>
      <w:r>
        <w:rPr>
          <w:rFonts w:ascii="Arial" w:cs="Arial" w:eastAsia="Arial" w:hAnsi="Arial"/>
          <w:color w:val="4A4A5C"/>
          <w:sz w:val="22"/>
          <w:szCs w:val="22"/>
        </w:rPr>
        <w:t xml:space="preserve">Single-company instance    </w:t>
      </w:r>
      <w:r>
        <w:rPr>
          <w:rFonts w:ascii="Arial" w:cs="Arial" w:eastAsia="Arial" w:hAnsi="Arial"/>
          <w:b/>
          <w:bCs/>
          <w:color w:val="1A1A24"/>
          <w:sz w:val="22"/>
          <w:szCs w:val="22"/>
        </w:rPr>
        <w:t xml:space="preserve">Company: </w:t>
      </w:r>
      <w:r>
        <w:rPr>
          <w:rFonts w:ascii="Arial" w:cs="Arial" w:eastAsia="Arial" w:hAnsi="Arial"/>
          <w:color w:val="4A4A5C"/>
          <w:sz w:val="22"/>
          <w:szCs w:val="22"/>
        </w:rPr>
        <w:t xml:space="preserve">H&amp;M (Retail)</w:t>
      </w:r>
    </w:p>
    <w:p>
      <w:pPr>
        <w:spacing w:after="100"/>
      </w:pPr>
      <w:r>
        <w:t xml:space="preserve"/>
      </w:r>
    </w:p>
    <w:p>
      <w:pPr>
        <w:pStyle w:val="Heading1"/>
        <w:pBdr>
          <w:bottom w:val="single" w:color="CC0015" w:sz="8" w:space="6"/>
        </w:pBdr>
        <w:spacing w:before="360" w:after="140"/>
      </w:pPr>
      <w:r>
        <w:rPr>
          <w:rFonts w:ascii="Arial" w:cs="Arial" w:eastAsia="Arial" w:hAnsi="Arial"/>
          <w:b/>
          <w:bCs/>
          <w:color w:val="CC0015"/>
          <w:sz w:val="32"/>
          <w:szCs w:val="32"/>
        </w:rPr>
        <w:t xml:space="preserve">1. System Architecture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4A4A5C"/>
          <w:sz w:val="22"/>
          <w:szCs w:val="22"/>
        </w:rPr>
        <w:t xml:space="preserve">Single-company instance scoped to H&amp;M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4A4A5C"/>
          <w:sz w:val="22"/>
          <w:szCs w:val="22"/>
        </w:rPr>
        <w:t xml:space="preserve">All employees must belong to a branch and a department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4A4A5C"/>
          <w:sz w:val="22"/>
          <w:szCs w:val="22"/>
        </w:rPr>
        <w:t xml:space="preserve">Every employee has exactly one manager, except top executives</w:t>
      </w:r>
    </w:p>
    <w:p>
      <w:pPr>
        <w:spacing w:after="100"/>
      </w:pPr>
      <w:r>
        <w:t xml:space="preserve"/>
      </w:r>
    </w:p>
    <w:p>
      <w:pPr>
        <w:pStyle w:val="Heading1"/>
        <w:pBdr>
          <w:bottom w:val="single" w:color="CC0015" w:sz="8" w:space="6"/>
        </w:pBdr>
        <w:spacing w:before="360" w:after="140"/>
      </w:pPr>
      <w:r>
        <w:rPr>
          <w:rFonts w:ascii="Arial" w:cs="Arial" w:eastAsia="Arial" w:hAnsi="Arial"/>
          <w:b/>
          <w:bCs/>
          <w:color w:val="CC0015"/>
          <w:sz w:val="32"/>
          <w:szCs w:val="32"/>
        </w:rPr>
        <w:t xml:space="preserve">2. Core Modules</w:t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1A1A24"/>
          <w:sz w:val="26"/>
          <w:szCs w:val="26"/>
        </w:rPr>
        <w:t xml:space="preserve">Pay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4A4A5C"/>
          <w:sz w:val="22"/>
          <w:szCs w:val="22"/>
        </w:rPr>
        <w:t xml:space="preserve">Supported frequencies: Weekly, Bi-weekly, Semi-monthly, Monthly, Annual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4A4A5C"/>
          <w:sz w:val="22"/>
          <w:szCs w:val="22"/>
        </w:rPr>
        <w:t xml:space="preserve">Generate, preview, commit (admin-only), and store payroll history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4A4A5C"/>
          <w:sz w:val="22"/>
          <w:szCs w:val="22"/>
        </w:rPr>
        <w:t xml:space="preserve">Earnings history maintained per employee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4A4A5C"/>
          <w:sz w:val="22"/>
          <w:szCs w:val="22"/>
        </w:rPr>
        <w:t xml:space="preserve">Seed data covers multiple 2025 pay cycles across all frequencies</w:t>
      </w:r>
    </w:p>
    <w:p>
      <w:pPr>
        <w:spacing w:after="10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1A1A24"/>
          <w:sz w:val="26"/>
          <w:szCs w:val="26"/>
        </w:rPr>
        <w:t xml:space="preserve">Time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4A4A5C"/>
          <w:sz w:val="22"/>
          <w:szCs w:val="22"/>
        </w:rPr>
        <w:t xml:space="preserve">Tracks regular hours, overtime (non-exempt only), and PTO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4A4A5C"/>
          <w:sz w:val="22"/>
          <w:szCs w:val="22"/>
        </w:rPr>
        <w:t xml:space="preserve">Exempt: Semi-monthly / Monthly timesheets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4A4A5C"/>
          <w:sz w:val="22"/>
          <w:szCs w:val="22"/>
        </w:rPr>
        <w:t xml:space="preserve">Non-exempt: Weekly hourly-based timesheets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4A4A5C"/>
          <w:sz w:val="22"/>
          <w:szCs w:val="22"/>
        </w:rPr>
        <w:t xml:space="preserve">Forms: Time Entry, PTO Submission, PTO Approval (managers only)</w:t>
      </w:r>
    </w:p>
    <w:p>
      <w:pPr>
        <w:spacing w:after="10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1A1A24"/>
          <w:sz w:val="26"/>
          <w:szCs w:val="26"/>
        </w:rPr>
        <w:t xml:space="preserve">Benefits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4A4A5C"/>
          <w:sz w:val="22"/>
          <w:szCs w:val="22"/>
        </w:rPr>
        <w:t xml:space="preserve">Plans: Dental, Vision, Drug, General Health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4A4A5C"/>
          <w:sz w:val="22"/>
          <w:szCs w:val="22"/>
        </w:rPr>
        <w:t xml:space="preserve">Enrollment tracking, claim submission, usage and history per employee</w:t>
      </w:r>
    </w:p>
    <w:p>
      <w:pPr>
        <w:spacing w:after="100"/>
      </w:pPr>
      <w:r>
        <w:t xml:space="preserve"/>
      </w:r>
    </w:p>
    <w:p>
      <w:pPr>
        <w:pStyle w:val="Heading1"/>
        <w:pBdr>
          <w:bottom w:val="single" w:color="CC0015" w:sz="8" w:space="6"/>
        </w:pBdr>
        <w:spacing w:before="360" w:after="140"/>
      </w:pPr>
      <w:r>
        <w:rPr>
          <w:rFonts w:ascii="Arial" w:cs="Arial" w:eastAsia="Arial" w:hAnsi="Arial"/>
          <w:b/>
          <w:bCs/>
          <w:color w:val="CC0015"/>
          <w:sz w:val="32"/>
          <w:szCs w:val="32"/>
        </w:rPr>
        <w:t xml:space="preserve">3. Employee Data Model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E4E4EB" w:sz="1"/>
              <w:left w:val="single" w:color="E4E4EB" w:sz="1"/>
              <w:bottom w:val="single" w:color="E4E4EB" w:sz="1"/>
              <w:right w:val="single" w:color="E4E4EB" w:sz="1"/>
            </w:tcBorders>
            <w:shd w:fill="2A000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E4E4EB" w:sz="1"/>
              <w:left w:val="single" w:color="E4E4EB" w:sz="1"/>
              <w:bottom w:val="single" w:color="E4E4EB" w:sz="1"/>
              <w:right w:val="single" w:color="E4E4EB" w:sz="1"/>
            </w:tcBorders>
            <w:shd w:fill="2A000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E4E4EB" w:sz="1"/>
              <w:left w:val="single" w:color="E4E4EB" w:sz="1"/>
              <w:bottom w:val="single" w:color="E4E4EB" w:sz="1"/>
              <w:right w:val="single" w:color="E4E4EB" w:sz="1"/>
            </w:tcBorders>
            <w:shd w:fill="F5F5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5C"/>
                <w:sz w:val="20"/>
                <w:szCs w:val="20"/>
              </w:rPr>
              <w:t xml:space="preserve">Name</w:t>
            </w:r>
          </w:p>
        </w:tc>
        <w:tc>
          <w:tcPr>
            <w:tcW w:type="dxa" w:w="6760"/>
            <w:tcBorders>
              <w:top w:val="single" w:color="E4E4EB" w:sz="1"/>
              <w:left w:val="single" w:color="E4E4EB" w:sz="1"/>
              <w:bottom w:val="single" w:color="E4E4EB" w:sz="1"/>
              <w:right w:val="single" w:color="E4E4EB" w:sz="1"/>
            </w:tcBorders>
            <w:shd w:fill="F5F5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5C"/>
                <w:sz w:val="20"/>
                <w:szCs w:val="20"/>
              </w:rPr>
              <w:t xml:space="preserve">Full name</w:t>
            </w:r>
          </w:p>
        </w:tc>
      </w:tr>
      <w:tr>
        <w:tc>
          <w:tcPr>
            <w:tcW w:type="dxa" w:w="2600"/>
            <w:tcBorders>
              <w:top w:val="single" w:color="E4E4EB" w:sz="1"/>
              <w:left w:val="single" w:color="E4E4EB" w:sz="1"/>
              <w:bottom w:val="single" w:color="E4E4EB" w:sz="1"/>
              <w:right w:val="single" w:color="E4E4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5C"/>
                <w:sz w:val="20"/>
                <w:szCs w:val="20"/>
              </w:rPr>
              <w:t xml:space="preserve">Title</w:t>
            </w:r>
          </w:p>
        </w:tc>
        <w:tc>
          <w:tcPr>
            <w:tcW w:type="dxa" w:w="6760"/>
            <w:tcBorders>
              <w:top w:val="single" w:color="E4E4EB" w:sz="1"/>
              <w:left w:val="single" w:color="E4E4EB" w:sz="1"/>
              <w:bottom w:val="single" w:color="E4E4EB" w:sz="1"/>
              <w:right w:val="single" w:color="E4E4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5C"/>
                <w:sz w:val="20"/>
                <w:szCs w:val="20"/>
              </w:rPr>
              <w:t xml:space="preserve">Job title</w:t>
            </w:r>
          </w:p>
        </w:tc>
      </w:tr>
      <w:tr>
        <w:tc>
          <w:tcPr>
            <w:tcW w:type="dxa" w:w="2600"/>
            <w:tcBorders>
              <w:top w:val="single" w:color="E4E4EB" w:sz="1"/>
              <w:left w:val="single" w:color="E4E4EB" w:sz="1"/>
              <w:bottom w:val="single" w:color="E4E4EB" w:sz="1"/>
              <w:right w:val="single" w:color="E4E4EB" w:sz="1"/>
            </w:tcBorders>
            <w:shd w:fill="F5F5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5C"/>
                <w:sz w:val="20"/>
                <w:szCs w:val="20"/>
              </w:rPr>
              <w:t xml:space="preserve">Employment Type</w:t>
            </w:r>
          </w:p>
        </w:tc>
        <w:tc>
          <w:tcPr>
            <w:tcW w:type="dxa" w:w="6760"/>
            <w:tcBorders>
              <w:top w:val="single" w:color="E4E4EB" w:sz="1"/>
              <w:left w:val="single" w:color="E4E4EB" w:sz="1"/>
              <w:bottom w:val="single" w:color="E4E4EB" w:sz="1"/>
              <w:right w:val="single" w:color="E4E4EB" w:sz="1"/>
            </w:tcBorders>
            <w:shd w:fill="F5F5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5C"/>
                <w:sz w:val="20"/>
                <w:szCs w:val="20"/>
              </w:rPr>
              <w:t xml:space="preserve">Exempt / Non-exempt</w:t>
            </w:r>
          </w:p>
        </w:tc>
      </w:tr>
      <w:tr>
        <w:tc>
          <w:tcPr>
            <w:tcW w:type="dxa" w:w="2600"/>
            <w:tcBorders>
              <w:top w:val="single" w:color="E4E4EB" w:sz="1"/>
              <w:left w:val="single" w:color="E4E4EB" w:sz="1"/>
              <w:bottom w:val="single" w:color="E4E4EB" w:sz="1"/>
              <w:right w:val="single" w:color="E4E4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5C"/>
                <w:sz w:val="20"/>
                <w:szCs w:val="20"/>
              </w:rPr>
              <w:t xml:space="preserve">Compensation Type</w:t>
            </w:r>
          </w:p>
        </w:tc>
        <w:tc>
          <w:tcPr>
            <w:tcW w:type="dxa" w:w="6760"/>
            <w:tcBorders>
              <w:top w:val="single" w:color="E4E4EB" w:sz="1"/>
              <w:left w:val="single" w:color="E4E4EB" w:sz="1"/>
              <w:bottom w:val="single" w:color="E4E4EB" w:sz="1"/>
              <w:right w:val="single" w:color="E4E4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5C"/>
                <w:sz w:val="20"/>
                <w:szCs w:val="20"/>
              </w:rPr>
              <w:t xml:space="preserve">Salary / Hourly</w:t>
            </w:r>
          </w:p>
        </w:tc>
      </w:tr>
      <w:tr>
        <w:tc>
          <w:tcPr>
            <w:tcW w:type="dxa" w:w="2600"/>
            <w:tcBorders>
              <w:top w:val="single" w:color="E4E4EB" w:sz="1"/>
              <w:left w:val="single" w:color="E4E4EB" w:sz="1"/>
              <w:bottom w:val="single" w:color="E4E4EB" w:sz="1"/>
              <w:right w:val="single" w:color="E4E4EB" w:sz="1"/>
            </w:tcBorders>
            <w:shd w:fill="F5F5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5C"/>
                <w:sz w:val="20"/>
                <w:szCs w:val="20"/>
              </w:rPr>
              <w:t xml:space="preserve">Department</w:t>
            </w:r>
          </w:p>
        </w:tc>
        <w:tc>
          <w:tcPr>
            <w:tcW w:type="dxa" w:w="6760"/>
            <w:tcBorders>
              <w:top w:val="single" w:color="E4E4EB" w:sz="1"/>
              <w:left w:val="single" w:color="E4E4EB" w:sz="1"/>
              <w:bottom w:val="single" w:color="E4E4EB" w:sz="1"/>
              <w:right w:val="single" w:color="E4E4EB" w:sz="1"/>
            </w:tcBorders>
            <w:shd w:fill="F5F5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5C"/>
                <w:sz w:val="20"/>
                <w:szCs w:val="20"/>
              </w:rPr>
              <w:t xml:space="preserve">One of six departments</w:t>
            </w:r>
          </w:p>
        </w:tc>
      </w:tr>
      <w:tr>
        <w:tc>
          <w:tcPr>
            <w:tcW w:type="dxa" w:w="2600"/>
            <w:tcBorders>
              <w:top w:val="single" w:color="E4E4EB" w:sz="1"/>
              <w:left w:val="single" w:color="E4E4EB" w:sz="1"/>
              <w:bottom w:val="single" w:color="E4E4EB" w:sz="1"/>
              <w:right w:val="single" w:color="E4E4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5C"/>
                <w:sz w:val="20"/>
                <w:szCs w:val="20"/>
              </w:rPr>
              <w:t xml:space="preserve">Branch</w:t>
            </w:r>
          </w:p>
        </w:tc>
        <w:tc>
          <w:tcPr>
            <w:tcW w:type="dxa" w:w="6760"/>
            <w:tcBorders>
              <w:top w:val="single" w:color="E4E4EB" w:sz="1"/>
              <w:left w:val="single" w:color="E4E4EB" w:sz="1"/>
              <w:bottom w:val="single" w:color="E4E4EB" w:sz="1"/>
              <w:right w:val="single" w:color="E4E4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5C"/>
                <w:sz w:val="20"/>
                <w:szCs w:val="20"/>
              </w:rPr>
              <w:t xml:space="preserve">Assigned branch node</w:t>
            </w:r>
          </w:p>
        </w:tc>
      </w:tr>
      <w:tr>
        <w:tc>
          <w:tcPr>
            <w:tcW w:type="dxa" w:w="2600"/>
            <w:tcBorders>
              <w:top w:val="single" w:color="E4E4EB" w:sz="1"/>
              <w:left w:val="single" w:color="E4E4EB" w:sz="1"/>
              <w:bottom w:val="single" w:color="E4E4EB" w:sz="1"/>
              <w:right w:val="single" w:color="E4E4EB" w:sz="1"/>
            </w:tcBorders>
            <w:shd w:fill="F5F5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5C"/>
                <w:sz w:val="20"/>
                <w:szCs w:val="20"/>
              </w:rPr>
              <w:t xml:space="preserve">Manager</w:t>
            </w:r>
          </w:p>
        </w:tc>
        <w:tc>
          <w:tcPr>
            <w:tcW w:type="dxa" w:w="6760"/>
            <w:tcBorders>
              <w:top w:val="single" w:color="E4E4EB" w:sz="1"/>
              <w:left w:val="single" w:color="E4E4EB" w:sz="1"/>
              <w:bottom w:val="single" w:color="E4E4EB" w:sz="1"/>
              <w:right w:val="single" w:color="E4E4EB" w:sz="1"/>
            </w:tcBorders>
            <w:shd w:fill="F5F5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5C"/>
                <w:sz w:val="20"/>
                <w:szCs w:val="20"/>
              </w:rPr>
              <w:t xml:space="preserve">Single reporting manager</w:t>
            </w:r>
          </w:p>
        </w:tc>
      </w:tr>
      <w:tr>
        <w:tc>
          <w:tcPr>
            <w:tcW w:type="dxa" w:w="2600"/>
            <w:tcBorders>
              <w:top w:val="single" w:color="E4E4EB" w:sz="1"/>
              <w:left w:val="single" w:color="E4E4EB" w:sz="1"/>
              <w:bottom w:val="single" w:color="E4E4EB" w:sz="1"/>
              <w:right w:val="single" w:color="E4E4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5C"/>
                <w:sz w:val="20"/>
                <w:szCs w:val="20"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E4E4EB" w:sz="1"/>
              <w:left w:val="single" w:color="E4E4EB" w:sz="1"/>
              <w:bottom w:val="single" w:color="E4E4EB" w:sz="1"/>
              <w:right w:val="single" w:color="E4E4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5C"/>
                <w:sz w:val="20"/>
                <w:szCs w:val="20"/>
              </w:rPr>
              <w:t xml:space="preserve">Active / Inactive</w:t>
            </w:r>
          </w:p>
        </w:tc>
      </w:tr>
      <w:tr>
        <w:tc>
          <w:tcPr>
            <w:tcW w:type="dxa" w:w="2600"/>
            <w:tcBorders>
              <w:top w:val="single" w:color="E4E4EB" w:sz="1"/>
              <w:left w:val="single" w:color="E4E4EB" w:sz="1"/>
              <w:bottom w:val="single" w:color="E4E4EB" w:sz="1"/>
              <w:right w:val="single" w:color="E4E4EB" w:sz="1"/>
            </w:tcBorders>
            <w:shd w:fill="F5F5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5C"/>
                <w:sz w:val="20"/>
                <w:szCs w:val="20"/>
              </w:rPr>
              <w:t xml:space="preserve">Job Level</w:t>
            </w:r>
          </w:p>
        </w:tc>
        <w:tc>
          <w:tcPr>
            <w:tcW w:type="dxa" w:w="6760"/>
            <w:tcBorders>
              <w:top w:val="single" w:color="E4E4EB" w:sz="1"/>
              <w:left w:val="single" w:color="E4E4EB" w:sz="1"/>
              <w:bottom w:val="single" w:color="E4E4EB" w:sz="1"/>
              <w:right w:val="single" w:color="E4E4EB" w:sz="1"/>
            </w:tcBorders>
            <w:shd w:fill="F5F5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5C"/>
                <w:sz w:val="20"/>
                <w:szCs w:val="20"/>
              </w:rPr>
              <w:t xml:space="preserve">C-Level / Director / Manager / Working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pBdr>
          <w:bottom w:val="single" w:color="CC0015" w:sz="8" w:space="6"/>
        </w:pBdr>
        <w:spacing w:before="360" w:after="140"/>
      </w:pPr>
      <w:r>
        <w:rPr>
          <w:rFonts w:ascii="Arial" w:cs="Arial" w:eastAsia="Arial" w:hAnsi="Arial"/>
          <w:b/>
          <w:bCs/>
          <w:color w:val="CC0015"/>
          <w:sz w:val="32"/>
          <w:szCs w:val="32"/>
        </w:rPr>
        <w:t xml:space="preserve">4. Organisational Structure</w:t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1A1A24"/>
          <w:sz w:val="26"/>
          <w:szCs w:val="26"/>
        </w:rPr>
        <w:t xml:space="preserve">Departments</w:t>
      </w:r>
    </w:p>
    <w:p>
      <w:pPr>
        <w:spacing w:after="100"/>
      </w:pPr>
      <w:r>
        <w:rPr>
          <w:rFonts w:ascii="Arial" w:cs="Arial" w:eastAsia="Arial" w:hAnsi="Arial"/>
          <w:color w:val="4A4A5C"/>
          <w:sz w:val="22"/>
          <w:szCs w:val="22"/>
        </w:rPr>
        <w:t xml:space="preserve">Sales  ·  Marketing  ·  IT  ·  Operations  ·  HR  ·  Engineering</w:t>
      </w:r>
    </w:p>
    <w:p>
      <w:pPr>
        <w:spacing w:after="10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1A1A24"/>
          <w:sz w:val="26"/>
          <w:szCs w:val="26"/>
        </w:rPr>
        <w:t xml:space="preserve">Job Level Hierarchy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4A4A5C"/>
          <w:sz w:val="22"/>
          <w:szCs w:val="22"/>
        </w:rPr>
        <w:t xml:space="preserve">C-Level: CRO, CMO, CIO, CHRO, CTO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4A4A5C"/>
          <w:sz w:val="22"/>
          <w:szCs w:val="22"/>
        </w:rPr>
        <w:t xml:space="preserve">Director Level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4A4A5C"/>
          <w:sz w:val="22"/>
          <w:szCs w:val="22"/>
        </w:rPr>
        <w:t xml:space="preserve">Manager Level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4A4A5C"/>
          <w:sz w:val="22"/>
          <w:szCs w:val="22"/>
        </w:rPr>
        <w:t xml:space="preserve">Working Level</w:t>
      </w:r>
    </w:p>
    <w:p>
      <w:pPr>
        <w:spacing w:after="10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1A1A24"/>
          <w:sz w:val="26"/>
          <w:szCs w:val="26"/>
        </w:rPr>
        <w:t xml:space="preserve">Branch Hierarchy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4A4A5C"/>
          <w:sz w:val="22"/>
          <w:szCs w:val="22"/>
        </w:rPr>
        <w:t xml:space="preserve">Multi-level, admin-managed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4A4A5C"/>
          <w:sz w:val="22"/>
          <w:szCs w:val="22"/>
        </w:rPr>
        <w:t xml:space="preserve">All employees must be assigned to a branch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4A4A5C"/>
          <w:sz w:val="22"/>
          <w:szCs w:val="22"/>
        </w:rPr>
        <w:t xml:space="preserve">Supports create, update, and delete of branch nodes (with employee validation)</w:t>
      </w:r>
    </w:p>
    <w:p>
      <w:pPr>
        <w:spacing w:after="100"/>
      </w:pPr>
      <w:r>
        <w:t xml:space="preserve"/>
      </w:r>
    </w:p>
    <w:p>
      <w:pPr>
        <w:pStyle w:val="Heading1"/>
        <w:pBdr>
          <w:bottom w:val="single" w:color="CC0015" w:sz="8" w:space="6"/>
        </w:pBdr>
        <w:spacing w:before="360" w:after="140"/>
      </w:pPr>
      <w:r>
        <w:rPr>
          <w:rFonts w:ascii="Arial" w:cs="Arial" w:eastAsia="Arial" w:hAnsi="Arial"/>
          <w:b/>
          <w:bCs/>
          <w:color w:val="CC0015"/>
          <w:sz w:val="32"/>
          <w:szCs w:val="32"/>
        </w:rPr>
        <w:t xml:space="preserve">5. Manager–Employee Relationship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4A4A5C"/>
          <w:sz w:val="22"/>
          <w:szCs w:val="22"/>
        </w:rPr>
        <w:t xml:space="preserve">One manager can have many employees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4A4A5C"/>
          <w:sz w:val="22"/>
          <w:szCs w:val="22"/>
        </w:rPr>
        <w:t xml:space="preserve">One employee has only one manager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4A4A5C"/>
          <w:sz w:val="22"/>
          <w:szCs w:val="22"/>
        </w:rPr>
        <w:t xml:space="preserve">Validations: no multiple managers, manager must be active, no circular hierarchy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4A4A5C"/>
          <w:sz w:val="22"/>
          <w:szCs w:val="22"/>
        </w:rPr>
        <w:t xml:space="preserve">Dedicated CRUD form for creating, updating, and deleting relationships</w:t>
      </w:r>
    </w:p>
    <w:p>
      <w:pPr>
        <w:spacing w:after="100"/>
      </w:pPr>
      <w:r>
        <w:t xml:space="preserve"/>
      </w:r>
    </w:p>
    <w:p>
      <w:pPr>
        <w:pStyle w:val="Heading1"/>
        <w:pBdr>
          <w:bottom w:val="single" w:color="CC0015" w:sz="8" w:space="6"/>
        </w:pBdr>
        <w:spacing w:before="360" w:after="140"/>
      </w:pPr>
      <w:r>
        <w:rPr>
          <w:rFonts w:ascii="Arial" w:cs="Arial" w:eastAsia="Arial" w:hAnsi="Arial"/>
          <w:b/>
          <w:bCs/>
          <w:color w:val="CC0015"/>
          <w:sz w:val="32"/>
          <w:szCs w:val="32"/>
        </w:rPr>
        <w:t xml:space="preserve">6. Role-Based Access Control (RBAC)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920"/>
        <w:gridCol w:w="1920"/>
        <w:gridCol w:w="1920"/>
      </w:tblGrid>
      <w:tr>
        <w:tc>
          <w:tcPr>
            <w:tcW w:type="dxa" w:w="3600"/>
            <w:tcBorders>
              <w:top w:val="single" w:color="E4E4EB" w:sz="1"/>
              <w:left w:val="single" w:color="E4E4EB" w:sz="1"/>
              <w:bottom w:val="single" w:color="E4E4EB" w:sz="1"/>
              <w:right w:val="single" w:color="E4E4EB" w:sz="1"/>
            </w:tcBorders>
            <w:shd w:fill="2A000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1920"/>
            <w:tcBorders>
              <w:top w:val="single" w:color="E4E4EB" w:sz="1"/>
              <w:left w:val="single" w:color="E4E4EB" w:sz="1"/>
              <w:bottom w:val="single" w:color="E4E4EB" w:sz="1"/>
              <w:right w:val="single" w:color="E4E4EB" w:sz="1"/>
            </w:tcBorders>
            <w:shd w:fill="2A000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Employee</w:t>
            </w:r>
          </w:p>
        </w:tc>
        <w:tc>
          <w:tcPr>
            <w:tcW w:type="dxa" w:w="1920"/>
            <w:tcBorders>
              <w:top w:val="single" w:color="E4E4EB" w:sz="1"/>
              <w:left w:val="single" w:color="E4E4EB" w:sz="1"/>
              <w:bottom w:val="single" w:color="E4E4EB" w:sz="1"/>
              <w:right w:val="single" w:color="E4E4EB" w:sz="1"/>
            </w:tcBorders>
            <w:shd w:fill="2A000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Manager</w:t>
            </w:r>
          </w:p>
        </w:tc>
        <w:tc>
          <w:tcPr>
            <w:tcW w:type="dxa" w:w="1920"/>
            <w:tcBorders>
              <w:top w:val="single" w:color="E4E4EB" w:sz="1"/>
              <w:left w:val="single" w:color="E4E4EB" w:sz="1"/>
              <w:bottom w:val="single" w:color="E4E4EB" w:sz="1"/>
              <w:right w:val="single" w:color="E4E4EB" w:sz="1"/>
            </w:tcBorders>
            <w:shd w:fill="2A000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HR Admin</w:t>
            </w:r>
          </w:p>
        </w:tc>
      </w:tr>
      <w:tr>
        <w:tc>
          <w:tcPr>
            <w:tcW w:type="dxa" w:w="3600"/>
            <w:tcBorders>
              <w:top w:val="single" w:color="E4E4EB" w:sz="1"/>
              <w:left w:val="single" w:color="E4E4EB" w:sz="1"/>
              <w:bottom w:val="single" w:color="E4E4EB" w:sz="1"/>
              <w:right w:val="single" w:color="E4E4EB" w:sz="1"/>
            </w:tcBorders>
            <w:shd w:fill="F5F5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5C"/>
                <w:sz w:val="20"/>
                <w:szCs w:val="20"/>
              </w:rPr>
              <w:t xml:space="preserve">Submit time / PTO / claims</w:t>
            </w:r>
          </w:p>
        </w:tc>
        <w:tc>
          <w:tcPr>
            <w:tcW w:type="dxa" w:w="1920"/>
            <w:tcBorders>
              <w:top w:val="single" w:color="E4E4EB" w:sz="1"/>
              <w:left w:val="single" w:color="E4E4EB" w:sz="1"/>
              <w:bottom w:val="single" w:color="E4E4EB" w:sz="1"/>
              <w:right w:val="single" w:color="E4E4EB" w:sz="1"/>
            </w:tcBorders>
            <w:shd w:fill="F5F5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5C"/>
                <w:sz w:val="20"/>
                <w:szCs w:val="20"/>
              </w:rPr>
              <w:t xml:space="preserve">✓</w:t>
            </w:r>
          </w:p>
        </w:tc>
        <w:tc>
          <w:tcPr>
            <w:tcW w:type="dxa" w:w="1920"/>
            <w:tcBorders>
              <w:top w:val="single" w:color="E4E4EB" w:sz="1"/>
              <w:left w:val="single" w:color="E4E4EB" w:sz="1"/>
              <w:bottom w:val="single" w:color="E4E4EB" w:sz="1"/>
              <w:right w:val="single" w:color="E4E4EB" w:sz="1"/>
            </w:tcBorders>
            <w:shd w:fill="F5F5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5C"/>
                <w:sz w:val="20"/>
                <w:szCs w:val="20"/>
              </w:rPr>
              <w:t xml:space="preserve">✓</w:t>
            </w:r>
          </w:p>
        </w:tc>
        <w:tc>
          <w:tcPr>
            <w:tcW w:type="dxa" w:w="1920"/>
            <w:tcBorders>
              <w:top w:val="single" w:color="E4E4EB" w:sz="1"/>
              <w:left w:val="single" w:color="E4E4EB" w:sz="1"/>
              <w:bottom w:val="single" w:color="E4E4EB" w:sz="1"/>
              <w:right w:val="single" w:color="E4E4EB" w:sz="1"/>
            </w:tcBorders>
            <w:shd w:fill="F5F5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5C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600"/>
            <w:tcBorders>
              <w:top w:val="single" w:color="E4E4EB" w:sz="1"/>
              <w:left w:val="single" w:color="E4E4EB" w:sz="1"/>
              <w:bottom w:val="single" w:color="E4E4EB" w:sz="1"/>
              <w:right w:val="single" w:color="E4E4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5C"/>
                <w:sz w:val="20"/>
                <w:szCs w:val="20"/>
              </w:rPr>
              <w:t xml:space="preserve">View own data</w:t>
            </w:r>
          </w:p>
        </w:tc>
        <w:tc>
          <w:tcPr>
            <w:tcW w:type="dxa" w:w="1920"/>
            <w:tcBorders>
              <w:top w:val="single" w:color="E4E4EB" w:sz="1"/>
              <w:left w:val="single" w:color="E4E4EB" w:sz="1"/>
              <w:bottom w:val="single" w:color="E4E4EB" w:sz="1"/>
              <w:right w:val="single" w:color="E4E4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5C"/>
                <w:sz w:val="20"/>
                <w:szCs w:val="20"/>
              </w:rPr>
              <w:t xml:space="preserve">✓</w:t>
            </w:r>
          </w:p>
        </w:tc>
        <w:tc>
          <w:tcPr>
            <w:tcW w:type="dxa" w:w="1920"/>
            <w:tcBorders>
              <w:top w:val="single" w:color="E4E4EB" w:sz="1"/>
              <w:left w:val="single" w:color="E4E4EB" w:sz="1"/>
              <w:bottom w:val="single" w:color="E4E4EB" w:sz="1"/>
              <w:right w:val="single" w:color="E4E4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5C"/>
                <w:sz w:val="20"/>
                <w:szCs w:val="20"/>
              </w:rPr>
              <w:t xml:space="preserve">✓</w:t>
            </w:r>
          </w:p>
        </w:tc>
        <w:tc>
          <w:tcPr>
            <w:tcW w:type="dxa" w:w="1920"/>
            <w:tcBorders>
              <w:top w:val="single" w:color="E4E4EB" w:sz="1"/>
              <w:left w:val="single" w:color="E4E4EB" w:sz="1"/>
              <w:bottom w:val="single" w:color="E4E4EB" w:sz="1"/>
              <w:right w:val="single" w:color="E4E4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5C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600"/>
            <w:tcBorders>
              <w:top w:val="single" w:color="E4E4EB" w:sz="1"/>
              <w:left w:val="single" w:color="E4E4EB" w:sz="1"/>
              <w:bottom w:val="single" w:color="E4E4EB" w:sz="1"/>
              <w:right w:val="single" w:color="E4E4EB" w:sz="1"/>
            </w:tcBorders>
            <w:shd w:fill="F5F5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5C"/>
                <w:sz w:val="20"/>
                <w:szCs w:val="20"/>
              </w:rPr>
              <w:t xml:space="preserve">View direct reports' data</w:t>
            </w:r>
          </w:p>
        </w:tc>
        <w:tc>
          <w:tcPr>
            <w:tcW w:type="dxa" w:w="1920"/>
            <w:tcBorders>
              <w:top w:val="single" w:color="E4E4EB" w:sz="1"/>
              <w:left w:val="single" w:color="E4E4EB" w:sz="1"/>
              <w:bottom w:val="single" w:color="E4E4EB" w:sz="1"/>
              <w:right w:val="single" w:color="E4E4EB" w:sz="1"/>
            </w:tcBorders>
            <w:shd w:fill="F5F5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5C"/>
                <w:sz w:val="20"/>
                <w:szCs w:val="20"/>
              </w:rPr>
              <w:t xml:space="preserve">—</w:t>
            </w:r>
          </w:p>
        </w:tc>
        <w:tc>
          <w:tcPr>
            <w:tcW w:type="dxa" w:w="1920"/>
            <w:tcBorders>
              <w:top w:val="single" w:color="E4E4EB" w:sz="1"/>
              <w:left w:val="single" w:color="E4E4EB" w:sz="1"/>
              <w:bottom w:val="single" w:color="E4E4EB" w:sz="1"/>
              <w:right w:val="single" w:color="E4E4EB" w:sz="1"/>
            </w:tcBorders>
            <w:shd w:fill="F5F5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5C"/>
                <w:sz w:val="20"/>
                <w:szCs w:val="20"/>
              </w:rPr>
              <w:t xml:space="preserve">✓</w:t>
            </w:r>
          </w:p>
        </w:tc>
        <w:tc>
          <w:tcPr>
            <w:tcW w:type="dxa" w:w="1920"/>
            <w:tcBorders>
              <w:top w:val="single" w:color="E4E4EB" w:sz="1"/>
              <w:left w:val="single" w:color="E4E4EB" w:sz="1"/>
              <w:bottom w:val="single" w:color="E4E4EB" w:sz="1"/>
              <w:right w:val="single" w:color="E4E4EB" w:sz="1"/>
            </w:tcBorders>
            <w:shd w:fill="F5F5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5C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600"/>
            <w:tcBorders>
              <w:top w:val="single" w:color="E4E4EB" w:sz="1"/>
              <w:left w:val="single" w:color="E4E4EB" w:sz="1"/>
              <w:bottom w:val="single" w:color="E4E4EB" w:sz="1"/>
              <w:right w:val="single" w:color="E4E4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5C"/>
                <w:sz w:val="20"/>
                <w:szCs w:val="20"/>
              </w:rPr>
              <w:t xml:space="preserve">Approve PTO (direct reports only)</w:t>
            </w:r>
          </w:p>
        </w:tc>
        <w:tc>
          <w:tcPr>
            <w:tcW w:type="dxa" w:w="1920"/>
            <w:tcBorders>
              <w:top w:val="single" w:color="E4E4EB" w:sz="1"/>
              <w:left w:val="single" w:color="E4E4EB" w:sz="1"/>
              <w:bottom w:val="single" w:color="E4E4EB" w:sz="1"/>
              <w:right w:val="single" w:color="E4E4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5C"/>
                <w:sz w:val="20"/>
                <w:szCs w:val="20"/>
              </w:rPr>
              <w:t xml:space="preserve">—</w:t>
            </w:r>
          </w:p>
        </w:tc>
        <w:tc>
          <w:tcPr>
            <w:tcW w:type="dxa" w:w="1920"/>
            <w:tcBorders>
              <w:top w:val="single" w:color="E4E4EB" w:sz="1"/>
              <w:left w:val="single" w:color="E4E4EB" w:sz="1"/>
              <w:bottom w:val="single" w:color="E4E4EB" w:sz="1"/>
              <w:right w:val="single" w:color="E4E4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5C"/>
                <w:sz w:val="20"/>
                <w:szCs w:val="20"/>
              </w:rPr>
              <w:t xml:space="preserve">✓</w:t>
            </w:r>
          </w:p>
        </w:tc>
        <w:tc>
          <w:tcPr>
            <w:tcW w:type="dxa" w:w="1920"/>
            <w:tcBorders>
              <w:top w:val="single" w:color="E4E4EB" w:sz="1"/>
              <w:left w:val="single" w:color="E4E4EB" w:sz="1"/>
              <w:bottom w:val="single" w:color="E4E4EB" w:sz="1"/>
              <w:right w:val="single" w:color="E4E4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5C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600"/>
            <w:tcBorders>
              <w:top w:val="single" w:color="E4E4EB" w:sz="1"/>
              <w:left w:val="single" w:color="E4E4EB" w:sz="1"/>
              <w:bottom w:val="single" w:color="E4E4EB" w:sz="1"/>
              <w:right w:val="single" w:color="E4E4EB" w:sz="1"/>
            </w:tcBorders>
            <w:shd w:fill="F5F5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5C"/>
                <w:sz w:val="20"/>
                <w:szCs w:val="20"/>
              </w:rPr>
              <w:t xml:space="preserve">Manage employees &amp; branches</w:t>
            </w:r>
          </w:p>
        </w:tc>
        <w:tc>
          <w:tcPr>
            <w:tcW w:type="dxa" w:w="1920"/>
            <w:tcBorders>
              <w:top w:val="single" w:color="E4E4EB" w:sz="1"/>
              <w:left w:val="single" w:color="E4E4EB" w:sz="1"/>
              <w:bottom w:val="single" w:color="E4E4EB" w:sz="1"/>
              <w:right w:val="single" w:color="E4E4EB" w:sz="1"/>
            </w:tcBorders>
            <w:shd w:fill="F5F5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5C"/>
                <w:sz w:val="20"/>
                <w:szCs w:val="20"/>
              </w:rPr>
              <w:t xml:space="preserve">—</w:t>
            </w:r>
          </w:p>
        </w:tc>
        <w:tc>
          <w:tcPr>
            <w:tcW w:type="dxa" w:w="1920"/>
            <w:tcBorders>
              <w:top w:val="single" w:color="E4E4EB" w:sz="1"/>
              <w:left w:val="single" w:color="E4E4EB" w:sz="1"/>
              <w:bottom w:val="single" w:color="E4E4EB" w:sz="1"/>
              <w:right w:val="single" w:color="E4E4EB" w:sz="1"/>
            </w:tcBorders>
            <w:shd w:fill="F5F5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5C"/>
                <w:sz w:val="20"/>
                <w:szCs w:val="20"/>
              </w:rPr>
              <w:t xml:space="preserve">—</w:t>
            </w:r>
          </w:p>
        </w:tc>
        <w:tc>
          <w:tcPr>
            <w:tcW w:type="dxa" w:w="1920"/>
            <w:tcBorders>
              <w:top w:val="single" w:color="E4E4EB" w:sz="1"/>
              <w:left w:val="single" w:color="E4E4EB" w:sz="1"/>
              <w:bottom w:val="single" w:color="E4E4EB" w:sz="1"/>
              <w:right w:val="single" w:color="E4E4EB" w:sz="1"/>
            </w:tcBorders>
            <w:shd w:fill="F5F5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5C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600"/>
            <w:tcBorders>
              <w:top w:val="single" w:color="E4E4EB" w:sz="1"/>
              <w:left w:val="single" w:color="E4E4EB" w:sz="1"/>
              <w:bottom w:val="single" w:color="E4E4EB" w:sz="1"/>
              <w:right w:val="single" w:color="E4E4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5C"/>
                <w:sz w:val="20"/>
                <w:szCs w:val="20"/>
              </w:rPr>
              <w:t xml:space="preserve">Commit payroll</w:t>
            </w:r>
          </w:p>
        </w:tc>
        <w:tc>
          <w:tcPr>
            <w:tcW w:type="dxa" w:w="1920"/>
            <w:tcBorders>
              <w:top w:val="single" w:color="E4E4EB" w:sz="1"/>
              <w:left w:val="single" w:color="E4E4EB" w:sz="1"/>
              <w:bottom w:val="single" w:color="E4E4EB" w:sz="1"/>
              <w:right w:val="single" w:color="E4E4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5C"/>
                <w:sz w:val="20"/>
                <w:szCs w:val="20"/>
              </w:rPr>
              <w:t xml:space="preserve">—</w:t>
            </w:r>
          </w:p>
        </w:tc>
        <w:tc>
          <w:tcPr>
            <w:tcW w:type="dxa" w:w="1920"/>
            <w:tcBorders>
              <w:top w:val="single" w:color="E4E4EB" w:sz="1"/>
              <w:left w:val="single" w:color="E4E4EB" w:sz="1"/>
              <w:bottom w:val="single" w:color="E4E4EB" w:sz="1"/>
              <w:right w:val="single" w:color="E4E4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5C"/>
                <w:sz w:val="20"/>
                <w:szCs w:val="20"/>
              </w:rPr>
              <w:t xml:space="preserve">—</w:t>
            </w:r>
          </w:p>
        </w:tc>
        <w:tc>
          <w:tcPr>
            <w:tcW w:type="dxa" w:w="1920"/>
            <w:tcBorders>
              <w:top w:val="single" w:color="E4E4EB" w:sz="1"/>
              <w:left w:val="single" w:color="E4E4EB" w:sz="1"/>
              <w:bottom w:val="single" w:color="E4E4EB" w:sz="1"/>
              <w:right w:val="single" w:color="E4E4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5C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600"/>
            <w:tcBorders>
              <w:top w:val="single" w:color="E4E4EB" w:sz="1"/>
              <w:left w:val="single" w:color="E4E4EB" w:sz="1"/>
              <w:bottom w:val="single" w:color="E4E4EB" w:sz="1"/>
              <w:right w:val="single" w:color="E4E4EB" w:sz="1"/>
            </w:tcBorders>
            <w:shd w:fill="F5F5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5C"/>
                <w:sz w:val="20"/>
                <w:szCs w:val="20"/>
              </w:rPr>
              <w:t xml:space="preserve">Full reporting access</w:t>
            </w:r>
          </w:p>
        </w:tc>
        <w:tc>
          <w:tcPr>
            <w:tcW w:type="dxa" w:w="1920"/>
            <w:tcBorders>
              <w:top w:val="single" w:color="E4E4EB" w:sz="1"/>
              <w:left w:val="single" w:color="E4E4EB" w:sz="1"/>
              <w:bottom w:val="single" w:color="E4E4EB" w:sz="1"/>
              <w:right w:val="single" w:color="E4E4EB" w:sz="1"/>
            </w:tcBorders>
            <w:shd w:fill="F5F5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5C"/>
                <w:sz w:val="20"/>
                <w:szCs w:val="20"/>
              </w:rPr>
              <w:t xml:space="preserve">—</w:t>
            </w:r>
          </w:p>
        </w:tc>
        <w:tc>
          <w:tcPr>
            <w:tcW w:type="dxa" w:w="1920"/>
            <w:tcBorders>
              <w:top w:val="single" w:color="E4E4EB" w:sz="1"/>
              <w:left w:val="single" w:color="E4E4EB" w:sz="1"/>
              <w:bottom w:val="single" w:color="E4E4EB" w:sz="1"/>
              <w:right w:val="single" w:color="E4E4EB" w:sz="1"/>
            </w:tcBorders>
            <w:shd w:fill="F5F5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5C"/>
                <w:sz w:val="20"/>
                <w:szCs w:val="20"/>
              </w:rPr>
              <w:t xml:space="preserve">—</w:t>
            </w:r>
          </w:p>
        </w:tc>
        <w:tc>
          <w:tcPr>
            <w:tcW w:type="dxa" w:w="1920"/>
            <w:tcBorders>
              <w:top w:val="single" w:color="E4E4EB" w:sz="1"/>
              <w:left w:val="single" w:color="E4E4EB" w:sz="1"/>
              <w:bottom w:val="single" w:color="E4E4EB" w:sz="1"/>
              <w:right w:val="single" w:color="E4E4EB" w:sz="1"/>
            </w:tcBorders>
            <w:shd w:fill="F5F5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5C"/>
                <w:sz w:val="20"/>
                <w:szCs w:val="20"/>
              </w:rPr>
              <w:t xml:space="preserve">✓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pBdr>
          <w:bottom w:val="single" w:color="CC0015" w:sz="8" w:space="6"/>
        </w:pBdr>
        <w:spacing w:before="360" w:after="140"/>
      </w:pPr>
      <w:r>
        <w:rPr>
          <w:rFonts w:ascii="Arial" w:cs="Arial" w:eastAsia="Arial" w:hAnsi="Arial"/>
          <w:b/>
          <w:bCs/>
          <w:color w:val="CC0015"/>
          <w:sz w:val="32"/>
          <w:szCs w:val="32"/>
        </w:rPr>
        <w:t xml:space="preserve">7. Admin Section</w:t>
      </w:r>
    </w:p>
    <w:p>
      <w:pPr>
        <w:spacing w:after="100"/>
      </w:pPr>
      <w:r>
        <w:rPr>
          <w:rFonts w:ascii="Arial" w:cs="Arial" w:eastAsia="Arial" w:hAnsi="Arial"/>
          <w:color w:val="4A4A5C"/>
          <w:sz w:val="22"/>
          <w:szCs w:val="22"/>
        </w:rPr>
        <w:t xml:space="preserve">HR Administrator capabilities: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4A4A5C"/>
          <w:sz w:val="22"/>
          <w:szCs w:val="22"/>
        </w:rPr>
        <w:t xml:space="preserve">Create, update, and deactivate employees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4A4A5C"/>
          <w:sz w:val="22"/>
          <w:szCs w:val="22"/>
        </w:rPr>
        <w:t xml:space="preserve">Build and manage branch hierarchy (create, update, delete nodes)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4A4A5C"/>
          <w:sz w:val="22"/>
          <w:szCs w:val="22"/>
        </w:rPr>
        <w:t xml:space="preserve">Assign employees to branches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4A4A5C"/>
          <w:sz w:val="22"/>
          <w:szCs w:val="22"/>
        </w:rPr>
        <w:t xml:space="preserve">Manage manager–employee relationships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4A4A5C"/>
          <w:sz w:val="22"/>
          <w:szCs w:val="22"/>
        </w:rPr>
        <w:t xml:space="preserve">Commit payroll</w:t>
      </w:r>
    </w:p>
    <w:p>
      <w:pPr>
        <w:spacing w:after="100"/>
      </w:pPr>
      <w:r>
        <w:t xml:space="preserve"/>
      </w:r>
    </w:p>
    <w:p>
      <w:pPr>
        <w:pStyle w:val="Heading1"/>
        <w:pBdr>
          <w:bottom w:val="single" w:color="CC0015" w:sz="8" w:space="6"/>
        </w:pBdr>
        <w:spacing w:before="360" w:after="140"/>
      </w:pPr>
      <w:r>
        <w:rPr>
          <w:rFonts w:ascii="Arial" w:cs="Arial" w:eastAsia="Arial" w:hAnsi="Arial"/>
          <w:b/>
          <w:bCs/>
          <w:color w:val="CC0015"/>
          <w:sz w:val="32"/>
          <w:szCs w:val="32"/>
        </w:rPr>
        <w:t xml:space="preserve">8. Reporting Module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4E4EB" w:sz="1"/>
              <w:left w:val="single" w:color="E4E4EB" w:sz="1"/>
              <w:bottom w:val="single" w:color="E4E4EB" w:sz="1"/>
              <w:right w:val="single" w:color="E4E4EB" w:sz="1"/>
            </w:tcBorders>
            <w:shd w:fill="2A000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7160"/>
            <w:tcBorders>
              <w:top w:val="single" w:color="E4E4EB" w:sz="1"/>
              <w:left w:val="single" w:color="E4E4EB" w:sz="1"/>
              <w:bottom w:val="single" w:color="E4E4EB" w:sz="1"/>
              <w:right w:val="single" w:color="E4E4EB" w:sz="1"/>
            </w:tcBorders>
            <w:shd w:fill="2A000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Reports</w:t>
            </w:r>
          </w:p>
        </w:tc>
      </w:tr>
      <w:tr>
        <w:tc>
          <w:tcPr>
            <w:tcW w:type="dxa" w:w="2200"/>
            <w:tcBorders>
              <w:top w:val="single" w:color="E4E4EB" w:sz="1"/>
              <w:left w:val="single" w:color="E4E4EB" w:sz="1"/>
              <w:bottom w:val="single" w:color="E4E4EB" w:sz="1"/>
              <w:right w:val="single" w:color="E4E4EB" w:sz="1"/>
            </w:tcBorders>
            <w:shd w:fill="F5F5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5C"/>
                <w:sz w:val="20"/>
                <w:szCs w:val="20"/>
              </w:rPr>
              <w:t xml:space="preserve">Payroll</w:t>
            </w:r>
          </w:p>
        </w:tc>
        <w:tc>
          <w:tcPr>
            <w:tcW w:type="dxa" w:w="7160"/>
            <w:tcBorders>
              <w:top w:val="single" w:color="E4E4EB" w:sz="1"/>
              <w:left w:val="single" w:color="E4E4EB" w:sz="1"/>
              <w:bottom w:val="single" w:color="E4E4EB" w:sz="1"/>
              <w:right w:val="single" w:color="E4E4EB" w:sz="1"/>
            </w:tcBorders>
            <w:shd w:fill="F5F5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5C"/>
                <w:sz w:val="20"/>
                <w:szCs w:val="20"/>
              </w:rPr>
              <w:t xml:space="preserve">Weekly, Bi-weekly, Semi-monthly, Monthly, By Department, Summary</w:t>
            </w:r>
          </w:p>
        </w:tc>
      </w:tr>
      <w:tr>
        <w:tc>
          <w:tcPr>
            <w:tcW w:type="dxa" w:w="2200"/>
            <w:tcBorders>
              <w:top w:val="single" w:color="E4E4EB" w:sz="1"/>
              <w:left w:val="single" w:color="E4E4EB" w:sz="1"/>
              <w:bottom w:val="single" w:color="E4E4EB" w:sz="1"/>
              <w:right w:val="single" w:color="E4E4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5C"/>
                <w:sz w:val="20"/>
                <w:szCs w:val="20"/>
              </w:rPr>
              <w:t xml:space="preserve">Benefits</w:t>
            </w:r>
          </w:p>
        </w:tc>
        <w:tc>
          <w:tcPr>
            <w:tcW w:type="dxa" w:w="7160"/>
            <w:tcBorders>
              <w:top w:val="single" w:color="E4E4EB" w:sz="1"/>
              <w:left w:val="single" w:color="E4E4EB" w:sz="1"/>
              <w:bottom w:val="single" w:color="E4E4EB" w:sz="1"/>
              <w:right w:val="single" w:color="E4E4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5C"/>
                <w:sz w:val="20"/>
                <w:szCs w:val="20"/>
              </w:rPr>
              <w:t xml:space="preserve">Consumed by employee, Enrollment summary, Cost summary</w:t>
            </w:r>
          </w:p>
        </w:tc>
      </w:tr>
      <w:tr>
        <w:tc>
          <w:tcPr>
            <w:tcW w:type="dxa" w:w="2200"/>
            <w:tcBorders>
              <w:top w:val="single" w:color="E4E4EB" w:sz="1"/>
              <w:left w:val="single" w:color="E4E4EB" w:sz="1"/>
              <w:bottom w:val="single" w:color="E4E4EB" w:sz="1"/>
              <w:right w:val="single" w:color="E4E4EB" w:sz="1"/>
            </w:tcBorders>
            <w:shd w:fill="F5F5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5C"/>
                <w:sz w:val="20"/>
                <w:szCs w:val="20"/>
              </w:rPr>
              <w:t xml:space="preserve">Time</w:t>
            </w:r>
          </w:p>
        </w:tc>
        <w:tc>
          <w:tcPr>
            <w:tcW w:type="dxa" w:w="7160"/>
            <w:tcBorders>
              <w:top w:val="single" w:color="E4E4EB" w:sz="1"/>
              <w:left w:val="single" w:color="E4E4EB" w:sz="1"/>
              <w:bottom w:val="single" w:color="E4E4EB" w:sz="1"/>
              <w:right w:val="single" w:color="E4E4EB" w:sz="1"/>
            </w:tcBorders>
            <w:shd w:fill="F5F5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5C"/>
                <w:sz w:val="20"/>
                <w:szCs w:val="20"/>
              </w:rPr>
              <w:t xml:space="preserve">Timesheet (Exempt), Timesheet (Non-exempt), Overtime, PTO Balances</w:t>
            </w:r>
          </w:p>
        </w:tc>
      </w:tr>
      <w:tr>
        <w:tc>
          <w:tcPr>
            <w:tcW w:type="dxa" w:w="2200"/>
            <w:tcBorders>
              <w:top w:val="single" w:color="E4E4EB" w:sz="1"/>
              <w:left w:val="single" w:color="E4E4EB" w:sz="1"/>
              <w:bottom w:val="single" w:color="E4E4EB" w:sz="1"/>
              <w:right w:val="single" w:color="E4E4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5C"/>
                <w:sz w:val="20"/>
                <w:szCs w:val="20"/>
              </w:rPr>
              <w:t xml:space="preserve">Workforce</w:t>
            </w:r>
          </w:p>
        </w:tc>
        <w:tc>
          <w:tcPr>
            <w:tcW w:type="dxa" w:w="7160"/>
            <w:tcBorders>
              <w:top w:val="single" w:color="E4E4EB" w:sz="1"/>
              <w:left w:val="single" w:color="E4E4EB" w:sz="1"/>
              <w:bottom w:val="single" w:color="E4E4EB" w:sz="1"/>
              <w:right w:val="single" w:color="E4E4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5C"/>
                <w:sz w:val="20"/>
                <w:szCs w:val="20"/>
              </w:rPr>
              <w:t xml:space="preserve">Headcount by dept / branch / level, Active vs Inactive, Manager span-of-control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pBdr>
          <w:bottom w:val="single" w:color="CC0015" w:sz="8" w:space="6"/>
        </w:pBdr>
        <w:spacing w:before="360" w:after="140"/>
      </w:pPr>
      <w:r>
        <w:rPr>
          <w:rFonts w:ascii="Arial" w:cs="Arial" w:eastAsia="Arial" w:hAnsi="Arial"/>
          <w:b/>
          <w:bCs/>
          <w:color w:val="CC0015"/>
          <w:sz w:val="32"/>
          <w:szCs w:val="32"/>
        </w:rPr>
        <w:t xml:space="preserve">9. Required Forms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4A4A5C"/>
          <w:sz w:val="22"/>
          <w:szCs w:val="22"/>
        </w:rPr>
        <w:t xml:space="preserve">Time Entry Submission Form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4A4A5C"/>
          <w:sz w:val="22"/>
          <w:szCs w:val="22"/>
        </w:rPr>
        <w:t xml:space="preserve">PTO Submission Form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4A4A5C"/>
          <w:sz w:val="22"/>
          <w:szCs w:val="22"/>
        </w:rPr>
        <w:t xml:space="preserve">PTO Approval Form (Manager)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4A4A5C"/>
          <w:sz w:val="22"/>
          <w:szCs w:val="22"/>
        </w:rPr>
        <w:t xml:space="preserve">Benefits Claim Submission Form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4A4A5C"/>
          <w:sz w:val="22"/>
          <w:szCs w:val="22"/>
        </w:rPr>
        <w:t xml:space="preserve">Employee Create / Update / Inactivate Form (Admin)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4A4A5C"/>
          <w:sz w:val="22"/>
          <w:szCs w:val="22"/>
        </w:rPr>
        <w:t xml:space="preserve">Manager–Employee Relationship Form (CRUD)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4A4A5C"/>
          <w:sz w:val="22"/>
          <w:szCs w:val="22"/>
        </w:rPr>
        <w:t xml:space="preserve">Branch Hierarchy Management Form (Admin)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4A4A5C"/>
          <w:sz w:val="22"/>
          <w:szCs w:val="22"/>
        </w:rPr>
        <w:t xml:space="preserve">Payroll Commit Interface</w:t>
      </w:r>
    </w:p>
    <w:p>
      <w:pPr>
        <w:spacing w:after="100"/>
      </w:pPr>
      <w:r>
        <w:t xml:space="preserve"/>
      </w:r>
    </w:p>
    <w:p>
      <w:pPr>
        <w:pStyle w:val="Heading1"/>
        <w:pBdr>
          <w:bottom w:val="single" w:color="CC0015" w:sz="8" w:space="6"/>
        </w:pBdr>
        <w:spacing w:before="360" w:after="140"/>
      </w:pPr>
      <w:r>
        <w:rPr>
          <w:rFonts w:ascii="Arial" w:cs="Arial" w:eastAsia="Arial" w:hAnsi="Arial"/>
          <w:b/>
          <w:bCs/>
          <w:color w:val="CC0015"/>
          <w:sz w:val="32"/>
          <w:szCs w:val="32"/>
        </w:rPr>
        <w:t xml:space="preserve">10. Seed Data — H&amp;M Retail Scenario</w:t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1A1A24"/>
          <w:sz w:val="26"/>
          <w:szCs w:val="26"/>
        </w:rPr>
        <w:t xml:space="preserve">Employees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4A4A5C"/>
          <w:sz w:val="22"/>
          <w:szCs w:val="22"/>
        </w:rPr>
        <w:t xml:space="preserve">C-Level executives: CRO, CMO, CIO, CHRO, CTO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4A4A5C"/>
          <w:sz w:val="22"/>
          <w:szCs w:val="22"/>
        </w:rPr>
        <w:t xml:space="preserve">Directors per department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4A4A5C"/>
          <w:sz w:val="22"/>
          <w:szCs w:val="22"/>
        </w:rPr>
        <w:t xml:space="preserve">Managers (store &amp; corporate)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4A4A5C"/>
          <w:sz w:val="22"/>
          <w:szCs w:val="22"/>
        </w:rPr>
        <w:t xml:space="preserve">Store associates and corporate staff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4A4A5C"/>
          <w:sz w:val="22"/>
          <w:szCs w:val="22"/>
        </w:rPr>
        <w:t xml:space="preserve">Named employees: John Doe, Jane Doe, Sam Smith</w:t>
      </w:r>
    </w:p>
    <w:p>
      <w:pPr>
        <w:spacing w:after="10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1A1A24"/>
          <w:sz w:val="26"/>
          <w:szCs w:val="26"/>
        </w:rPr>
        <w:t xml:space="preserve">Compensation Mix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4A4A5C"/>
          <w:sz w:val="22"/>
          <w:szCs w:val="22"/>
        </w:rPr>
        <w:t xml:space="preserve">Salaried (exempt) employees at Director level and above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4A4A5C"/>
          <w:sz w:val="22"/>
          <w:szCs w:val="22"/>
        </w:rPr>
        <w:t xml:space="preserve">Hourly (non-exempt) employees at Working level store positions</w:t>
      </w:r>
    </w:p>
    <w:p>
      <w:pPr>
        <w:spacing w:after="10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1A1A24"/>
          <w:sz w:val="26"/>
          <w:szCs w:val="26"/>
        </w:rPr>
        <w:t xml:space="preserve">Pay Periods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4A4A5C"/>
          <w:sz w:val="22"/>
          <w:szCs w:val="22"/>
        </w:rPr>
        <w:t xml:space="preserve">Multiple 2025 cycles generated for all four frequencies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4A4A5C"/>
          <w:sz w:val="22"/>
          <w:szCs w:val="22"/>
        </w:rPr>
        <w:t xml:space="preserve">Exempt: semi-monthly and monthly pay runs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4A4A5C"/>
          <w:sz w:val="22"/>
          <w:szCs w:val="22"/>
        </w:rPr>
        <w:t xml:space="preserve">Non-exempt: weekly pay runs, some with overtime samples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4A4A5C"/>
          <w:sz w:val="22"/>
          <w:szCs w:val="22"/>
        </w:rPr>
        <w:t xml:space="preserve">PTO and timesheet entries seeded for representative employees</w:t>
      </w:r>
    </w:p>
    <w:sectPr>
      <w:footerReference w:type="default" r:id="rId6"/>
      <w:pgSz w:w="12240" w:h="15840" w:orient="portrait"/>
      <w:pgMar w:top="144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98"/>
        <w:sz w:val="18"/>
        <w:szCs w:val="18"/>
      </w:rPr>
      <w:t xml:space="preserve">H&amp;M People Platform  •  HRIS Specification Summary  •  Page </w:t>
    </w:r>
    <w:r>
      <w:rPr>
        <w:rFonts w:ascii="Arial" w:cs="Arial" w:eastAsia="Arial" w:hAnsi="Arial"/>
        <w:color w:val="88889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2026-03-08T08:52:48.081Z</dcterms:created>
  <dcterms:modified xsi:type="dcterms:W3CDTF">2026-03-08T08:52:48.082Z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