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2563EB"/>
          <w:sz w:val="52"/>
          <w:szCs w:val="52"/>
        </w:rPr>
        <w:t xml:space="preserve">Portfolio App</w:t>
      </w:r>
    </w:p>
    <w:p>
      <w:pPr>
        <w:spacing w:before="0" w:after="60"/>
      </w:pPr>
      <w:r>
        <w:rPr>
          <w:rFonts w:ascii="Arial" w:cs="Arial" w:eastAsia="Arial" w:hAnsi="Arial"/>
          <w:color w:val="6B7280"/>
          <w:sz w:val="32"/>
          <w:szCs w:val="32"/>
        </w:rPr>
        <w:t xml:space="preserve">Prompt History Summary</w:t>
      </w:r>
    </w:p>
    <w:p>
      <w:pPr>
        <w:spacing w:before="0" w:after="200"/>
      </w:pPr>
      <w:r>
        <w:rPr>
          <w:rFonts w:ascii="Arial" w:cs="Arial" w:eastAsia="Arial" w:hAnsi="Arial"/>
          <w:i/>
          <w:iCs/>
          <w:color w:val="6B7280"/>
          <w:sz w:val="22"/>
          <w:szCs w:val="22"/>
        </w:rPr>
        <w:t xml:space="preserve">Session 10 — Charts, FX History &amp; Accuracy — March 8, 2026</w:t>
      </w:r>
    </w:p>
    <w:p>
      <w:pPr>
        <w:pBdr>
          <w:bottom w:val="single" w:color="E5E7EB" w:sz="2" w:space="1"/>
        </w:pBdr>
        <w:spacing w:before="160" w:after="160"/>
      </w:pPr>
    </w:p>
    <w:p>
      <w:pPr>
        <w:spacing w:before="60" w:after="100"/>
      </w:pPr>
      <w:r>
        <w:rPr>
          <w:rFonts w:ascii="Arial" w:cs="Arial" w:eastAsia="Arial" w:hAnsi="Arial"/>
          <w:color w:val="374151"/>
          <w:sz w:val="22"/>
          <w:szCs w:val="22"/>
        </w:rPr>
        <w:t xml:space="preserve">This session added several chart enhancements and a significant accuracy improvement to the portfolio app — replacing the static live FX rate with a full historical daily USD/CAD rate series so that all calculations reflect the exchange rate that was actually in effect on each specific date.</w:t>
      </w:r>
    </w:p>
    <w:p>
      <w:pPr>
        <w:spacing w:before="200" w:after="0"/>
      </w:pPr>
    </w:p>
    <w:p>
      <w:pPr>
        <w:pStyle w:val="Heading1"/>
        <w:pBdr>
          <w:bottom w:val="single" w:color="2563EB" w:sz="6" w:space="1"/>
        </w:pBdr>
        <w:spacing w:before="360" w:after="120"/>
      </w:pPr>
      <w:r>
        <w:rPr>
          <w:rFonts w:ascii="Arial" w:cs="Arial" w:eastAsia="Arial" w:hAnsi="Arial"/>
          <w:b/>
          <w:bCs/>
          <w:color w:val="2563EB"/>
          <w:sz w:val="36"/>
          <w:szCs w:val="36"/>
        </w:rPr>
        <w:t xml:space="preserve">Phase 1 — Ticker Allocation Chart Enhancements</w:t>
      </w:r>
    </w:p>
    <w:p>
      <w:pPr>
        <w:pStyle w:val="Heading3"/>
        <w:spacing w:before="200" w:after="60"/>
      </w:pPr>
      <w:r>
        <w:rPr>
          <w:rFonts w:ascii="Arial" w:cs="Arial" w:eastAsia="Arial" w:hAnsi="Arial"/>
          <w:b/>
          <w:bCs/>
          <w:color w:val="374151"/>
          <w:sz w:val="22"/>
          <w:szCs w:val="22"/>
        </w:rPr>
        <w:t xml:space="preserve">Prompt 1</w:t>
      </w:r>
    </w:p>
    <w:p>
      <w:pPr>
        <w:pBdr>
          <w:left w:val="single" w:color="2563EB" w:sz="12" w:space="6"/>
        </w:pBdr>
        <w:shd w:fill="EFF6FF" w:val="clear"/>
        <w:spacing w:before="80" w:after="80"/>
        <w:ind w:left="720" w:right="360"/>
      </w:pPr>
      <w:r>
        <w:rPr>
          <w:rFonts w:ascii="Arial" w:cs="Arial" w:eastAsia="Arial" w:hAnsi="Arial"/>
          <w:i/>
          <w:iCs/>
          <w:color w:val="1D4ED8"/>
          <w:sz w:val="21"/>
          <w:szCs w:val="21"/>
        </w:rPr>
        <w:t xml:space="preserve">“Please include the number of shares purchased, as well as the current market value, for all the charts.”</w:t>
      </w:r>
    </w:p>
    <w:p>
      <w:pPr>
        <w:spacing w:before="60" w:after="100"/>
      </w:pPr>
      <w:r>
        <w:rPr>
          <w:rFonts w:ascii="Arial" w:cs="Arial" w:eastAsia="Arial" w:hAnsi="Arial"/>
          <w:color w:val="374151"/>
          <w:sz w:val="22"/>
          <w:szCs w:val="22"/>
        </w:rPr>
        <w:t xml:space="preserve">Added a dedicated mkDonutTicker() function for the Holdings Allocation by Stock/Fund pie charts in both member and family views. Hovering a slice now displays:</w:t>
      </w:r>
    </w:p>
    <w:p>
      <w:pPr>
        <w:pStyle w:val="ListParagraph"/>
        <w:numPr>
          <w:ilvl w:val="0"/>
          <w:numId w:val="2"/>
        </w:numPr>
        <w:spacing w:before="40" w:after="40"/>
      </w:pPr>
      <w:r>
        <w:rPr>
          <w:rFonts w:ascii="Arial" w:cs="Arial" w:eastAsia="Arial" w:hAnsi="Arial"/>
          <w:color w:val="374151"/>
          <w:sz w:val="22"/>
          <w:szCs w:val="22"/>
        </w:rPr>
        <w:t xml:space="preserve">Ticker name</w:t>
      </w:r>
    </w:p>
    <w:p>
      <w:pPr>
        <w:pStyle w:val="ListParagraph"/>
        <w:numPr>
          <w:ilvl w:val="0"/>
          <w:numId w:val="2"/>
        </w:numPr>
        <w:spacing w:before="40" w:after="40"/>
      </w:pPr>
      <w:r>
        <w:rPr>
          <w:rFonts w:ascii="Arial" w:cs="Arial" w:eastAsia="Arial" w:hAnsi="Arial"/>
          <w:color w:val="374151"/>
          <w:sz w:val="22"/>
          <w:szCs w:val="22"/>
        </w:rPr>
        <w:t xml:space="preserve">Total shares held across all lots</w:t>
      </w:r>
    </w:p>
    <w:p>
      <w:pPr>
        <w:pStyle w:val="ListParagraph"/>
        <w:numPr>
          <w:ilvl w:val="0"/>
          <w:numId w:val="2"/>
        </w:numPr>
        <w:spacing w:before="40" w:after="40"/>
      </w:pPr>
      <w:r>
        <w:rPr>
          <w:rFonts w:ascii="Arial" w:cs="Arial" w:eastAsia="Arial" w:hAnsi="Arial"/>
          <w:color w:val="374151"/>
          <w:sz w:val="22"/>
          <w:szCs w:val="22"/>
        </w:rPr>
        <w:t xml:space="preserve">Current market value in display currency</w:t>
      </w:r>
    </w:p>
    <w:p>
      <w:pPr>
        <w:pStyle w:val="ListParagraph"/>
        <w:numPr>
          <w:ilvl w:val="0"/>
          <w:numId w:val="2"/>
        </w:numPr>
        <w:spacing w:before="40" w:after="40"/>
      </w:pPr>
      <w:r>
        <w:rPr>
          <w:rFonts w:ascii="Arial" w:cs="Arial" w:eastAsia="Arial" w:hAnsi="Arial"/>
          <w:color w:val="374151"/>
          <w:sz w:val="22"/>
          <w:szCs w:val="22"/>
        </w:rPr>
        <w:t xml:space="preserve">Portfolio percentage</w:t>
      </w:r>
    </w:p>
    <w:p>
      <w:pPr>
        <w:spacing w:before="60" w:after="100"/>
      </w:pPr>
      <w:r>
        <w:rPr>
          <w:rFonts w:ascii="Arial" w:cs="Arial" w:eastAsia="Arial" w:hAnsi="Arial"/>
          <w:color w:val="374151"/>
          <w:sz w:val="22"/>
          <w:szCs w:val="22"/>
        </w:rPr>
        <w:t xml:space="preserve">Multiple lots of the same ticker are aggregated into a single slice. Other allocation charts (institution, account type, currency, member) were left unchanged.</w:t>
      </w:r>
    </w:p>
    <w:p>
      <w:pPr>
        <w:spacing w:before="200" w:after="0"/>
      </w:pPr>
    </w:p>
    <w:p>
      <w:pPr>
        <w:pStyle w:val="Heading1"/>
        <w:pBdr>
          <w:bottom w:val="single" w:color="2563EB" w:sz="6" w:space="1"/>
        </w:pBdr>
        <w:spacing w:before="360" w:after="120"/>
      </w:pPr>
      <w:r>
        <w:rPr>
          <w:rFonts w:ascii="Arial" w:cs="Arial" w:eastAsia="Arial" w:hAnsi="Arial"/>
          <w:b/>
          <w:bCs/>
          <w:color w:val="2563EB"/>
          <w:sz w:val="36"/>
          <w:szCs w:val="36"/>
        </w:rPr>
        <w:t xml:space="preserve">Phase 2 — Annual Return by Year Bar Chart</w:t>
      </w:r>
    </w:p>
    <w:p>
      <w:pPr>
        <w:pStyle w:val="Heading3"/>
        <w:spacing w:before="200" w:after="60"/>
      </w:pPr>
      <w:r>
        <w:rPr>
          <w:rFonts w:ascii="Arial" w:cs="Arial" w:eastAsia="Arial" w:hAnsi="Arial"/>
          <w:b/>
          <w:bCs/>
          <w:color w:val="374151"/>
          <w:sz w:val="22"/>
          <w:szCs w:val="22"/>
        </w:rPr>
        <w:t xml:space="preserve">Prompt 2</w:t>
      </w:r>
    </w:p>
    <w:p>
      <w:pPr>
        <w:pBdr>
          <w:left w:val="single" w:color="2563EB" w:sz="12" w:space="6"/>
        </w:pBdr>
        <w:shd w:fill="EFF6FF" w:val="clear"/>
        <w:spacing w:before="80" w:after="80"/>
        <w:ind w:left="720" w:right="360"/>
      </w:pPr>
      <w:r>
        <w:rPr>
          <w:rFonts w:ascii="Arial" w:cs="Arial" w:eastAsia="Arial" w:hAnsi="Arial"/>
          <w:i/>
          <w:iCs/>
          <w:color w:val="1D4ED8"/>
          <w:sz w:val="21"/>
          <w:szCs w:val="21"/>
        </w:rPr>
        <w:t xml:space="preserve">“Create a bar chart for each member view and family view that shows the total return for that specific year. Please use the closing stock price on the last business day of the year.”</w:t>
      </w:r>
    </w:p>
    <w:p>
      <w:pPr>
        <w:spacing w:before="60" w:after="100"/>
      </w:pPr>
      <w:r>
        <w:rPr>
          <w:rFonts w:ascii="Arial" w:cs="Arial" w:eastAsia="Arial" w:hAnsi="Arial"/>
          <w:color w:val="374151"/>
          <w:sz w:val="22"/>
          <w:szCs w:val="22"/>
        </w:rPr>
        <w:t xml:space="preserve">Added an Annual Return by Year (%) bar chart to every member view and the family view. Calculation rules:</w:t>
      </w:r>
    </w:p>
    <w:p>
      <w:pPr>
        <w:pStyle w:val="ListParagraph"/>
        <w:numPr>
          <w:ilvl w:val="0"/>
          <w:numId w:val="2"/>
        </w:numPr>
        <w:spacing w:before="40" w:after="40"/>
      </w:pPr>
      <w:r>
        <w:rPr>
          <w:rFonts w:ascii="Arial" w:cs="Arial" w:eastAsia="Arial" w:hAnsi="Arial"/>
          <w:b/>
          <w:bCs/>
          <w:color w:val="374151"/>
          <w:sz w:val="22"/>
          <w:szCs w:val="22"/>
        </w:rPr>
        <w:t xml:space="preserve">Year-start value = </w:t>
      </w:r>
      <w:r>
        <w:rPr>
          <w:rFonts w:ascii="Arial" w:cs="Arial" w:eastAsia="Arial" w:hAnsi="Arial"/>
          <w:color w:val="374151"/>
          <w:sz w:val="22"/>
          <w:szCs w:val="22"/>
        </w:rPr>
        <w:t xml:space="preserve">Stocks held from a prior year: </w:t>
      </w:r>
    </w:p>
    <w:p>
      <w:pPr>
        <w:spacing w:before="60" w:after="100"/>
      </w:pPr>
      <w:r>
        <w:rPr>
          <w:rFonts w:ascii="Arial" w:cs="Arial" w:eastAsia="Arial" w:hAnsi="Arial"/>
          <w:color w:val="374151"/>
          <w:sz w:val="22"/>
          <w:szCs w:val="22"/>
        </w:rPr>
        <w:t xml:space="preserve">last trading close of Dec 31 of the prior year × shares held.</w:t>
      </w:r>
    </w:p>
    <w:p>
      <w:pPr>
        <w:pStyle w:val="ListParagraph"/>
        <w:numPr>
          <w:ilvl w:val="0"/>
          <w:numId w:val="2"/>
        </w:numPr>
        <w:spacing w:before="40" w:after="40"/>
      </w:pPr>
      <w:r>
        <w:rPr>
          <w:rFonts w:ascii="Arial" w:cs="Arial" w:eastAsia="Arial" w:hAnsi="Arial"/>
          <w:b/>
          <w:bCs/>
          <w:color w:val="374151"/>
          <w:sz w:val="22"/>
          <w:szCs w:val="22"/>
        </w:rPr>
        <w:t xml:space="preserve">Year-start value = </w:t>
      </w:r>
      <w:r>
        <w:rPr>
          <w:rFonts w:ascii="Arial" w:cs="Arial" w:eastAsia="Arial" w:hAnsi="Arial"/>
          <w:color w:val="374151"/>
          <w:sz w:val="22"/>
          <w:szCs w:val="22"/>
        </w:rPr>
        <w:t xml:space="preserve">Stocks purchased mid-year: </w:t>
      </w:r>
    </w:p>
    <w:p>
      <w:pPr>
        <w:spacing w:before="60" w:after="100"/>
      </w:pPr>
      <w:r>
        <w:rPr>
          <w:rFonts w:ascii="Arial" w:cs="Arial" w:eastAsia="Arial" w:hAnsi="Arial"/>
          <w:color w:val="374151"/>
          <w:sz w:val="22"/>
          <w:szCs w:val="22"/>
        </w:rPr>
        <w:t xml:space="preserve">cost basis (purchase price × shares).</w:t>
      </w:r>
    </w:p>
    <w:p>
      <w:pPr>
        <w:pStyle w:val="ListParagraph"/>
        <w:numPr>
          <w:ilvl w:val="0"/>
          <w:numId w:val="2"/>
        </w:numPr>
        <w:spacing w:before="40" w:after="40"/>
      </w:pPr>
      <w:r>
        <w:rPr>
          <w:rFonts w:ascii="Arial" w:cs="Arial" w:eastAsia="Arial" w:hAnsi="Arial"/>
          <w:b/>
          <w:bCs/>
          <w:color w:val="374151"/>
          <w:sz w:val="22"/>
          <w:szCs w:val="22"/>
        </w:rPr>
        <w:t xml:space="preserve">Year-end value = </w:t>
      </w:r>
      <w:r>
        <w:rPr>
          <w:rFonts w:ascii="Arial" w:cs="Arial" w:eastAsia="Arial" w:hAnsi="Arial"/>
          <w:color w:val="374151"/>
          <w:sz w:val="22"/>
          <w:szCs w:val="22"/>
        </w:rPr>
        <w:t xml:space="preserve">Current year in progress: </w:t>
      </w:r>
    </w:p>
    <w:p>
      <w:pPr>
        <w:spacing w:before="60" w:after="100"/>
      </w:pPr>
      <w:r>
        <w:rPr>
          <w:rFonts w:ascii="Arial" w:cs="Arial" w:eastAsia="Arial" w:hAnsi="Arial"/>
          <w:color w:val="374151"/>
          <w:sz w:val="22"/>
          <w:szCs w:val="22"/>
        </w:rPr>
        <w:t xml:space="preserve">today’s live price.</w:t>
      </w:r>
    </w:p>
    <w:p>
      <w:pPr>
        <w:spacing w:before="60" w:after="100"/>
      </w:pPr>
      <w:r>
        <w:rPr>
          <w:rFonts w:ascii="Arial" w:cs="Arial" w:eastAsia="Arial" w:hAnsi="Arial"/>
          <w:color w:val="374151"/>
          <w:sz w:val="22"/>
          <w:szCs w:val="22"/>
        </w:rPr>
        <w:t xml:space="preserve">Bar colours: green for positive years, red for negative. Tooltip shows return %, P&amp;L in CAD, start value, and end value.</w:t>
      </w:r>
    </w:p>
    <w:p>
      <w:pPr>
        <w:spacing w:before="200" w:after="0"/>
      </w:pPr>
    </w:p>
    <w:p>
      <w:pPr>
        <w:pStyle w:val="Heading1"/>
        <w:pBdr>
          <w:bottom w:val="single" w:color="2563EB" w:sz="6" w:space="1"/>
        </w:pBdr>
        <w:spacing w:before="360" w:after="120"/>
      </w:pPr>
      <w:r>
        <w:rPr>
          <w:rFonts w:ascii="Arial" w:cs="Arial" w:eastAsia="Arial" w:hAnsi="Arial"/>
          <w:b/>
          <w:bCs/>
          <w:color w:val="2563EB"/>
          <w:sz w:val="36"/>
          <w:szCs w:val="36"/>
        </w:rPr>
        <w:t xml:space="preserve">Phase 3 — Dollar P&amp;L Labels on Bar Charts</w:t>
      </w:r>
    </w:p>
    <w:p>
      <w:pPr>
        <w:pStyle w:val="Heading3"/>
        <w:spacing w:before="200" w:after="60"/>
      </w:pPr>
      <w:r>
        <w:rPr>
          <w:rFonts w:ascii="Arial" w:cs="Arial" w:eastAsia="Arial" w:hAnsi="Arial"/>
          <w:b/>
          <w:bCs/>
          <w:color w:val="374151"/>
          <w:sz w:val="22"/>
          <w:szCs w:val="22"/>
        </w:rPr>
        <w:t xml:space="preserve">Prompt 3</w:t>
      </w:r>
    </w:p>
    <w:p>
      <w:pPr>
        <w:pBdr>
          <w:left w:val="single" w:color="2563EB" w:sz="12" w:space="6"/>
        </w:pBdr>
        <w:shd w:fill="EFF6FF" w:val="clear"/>
        <w:spacing w:before="80" w:after="80"/>
        <w:ind w:left="720" w:right="360"/>
      </w:pPr>
      <w:r>
        <w:rPr>
          <w:rFonts w:ascii="Arial" w:cs="Arial" w:eastAsia="Arial" w:hAnsi="Arial"/>
          <w:i/>
          <w:iCs/>
          <w:color w:val="1D4ED8"/>
          <w:sz w:val="21"/>
          <w:szCs w:val="21"/>
        </w:rPr>
        <w:t xml:space="preserve">“Include the dollar amount in CAD, as well as the %, on the Return by Member bar chart.”</w:t>
      </w:r>
    </w:p>
    <w:p>
      <w:pPr>
        <w:spacing w:before="60" w:after="100"/>
      </w:pPr>
      <w:r>
        <w:rPr>
          <w:rFonts w:ascii="Arial" w:cs="Arial" w:eastAsia="Arial" w:hAnsi="Arial"/>
          <w:color w:val="374151"/>
          <w:sz w:val="22"/>
          <w:szCs w:val="22"/>
        </w:rPr>
        <w:t xml:space="preserve">Created mkBarWithPnl() — renders both return % (bold, green/red) and dollar P&amp;L (smaller, grey) as inline labels directly on each bar. Extra top padding prevents label clipping. Tooltip also shows both figures. Applied to the Return by Member family chart.</w:t>
      </w:r>
    </w:p>
    <w:p>
      <w:pPr>
        <w:pStyle w:val="Heading3"/>
        <w:spacing w:before="200" w:after="60"/>
      </w:pPr>
      <w:r>
        <w:rPr>
          <w:rFonts w:ascii="Arial" w:cs="Arial" w:eastAsia="Arial" w:hAnsi="Arial"/>
          <w:b/>
          <w:bCs/>
          <w:color w:val="374151"/>
          <w:sz w:val="22"/>
          <w:szCs w:val="22"/>
        </w:rPr>
        <w:t xml:space="preserve">Prompt 4</w:t>
      </w:r>
    </w:p>
    <w:p>
      <w:pPr>
        <w:pBdr>
          <w:left w:val="single" w:color="2563EB" w:sz="12" w:space="6"/>
        </w:pBdr>
        <w:shd w:fill="EFF6FF" w:val="clear"/>
        <w:spacing w:before="80" w:after="80"/>
        <w:ind w:left="720" w:right="360"/>
      </w:pPr>
      <w:r>
        <w:rPr>
          <w:rFonts w:ascii="Arial" w:cs="Arial" w:eastAsia="Arial" w:hAnsi="Arial"/>
          <w:i/>
          <w:iCs/>
          <w:color w:val="1D4ED8"/>
          <w:sz w:val="21"/>
          <w:szCs w:val="21"/>
        </w:rPr>
        <w:t xml:space="preserve">“Include the dollar amount in CAD, as well as the %, on the Return by Holding bar chart for each member view. Include the dollar amount in CAD, as well as the %, on the Return by Account Type bar chart under the Family view.”</w:t>
      </w:r>
    </w:p>
    <w:p>
      <w:pPr>
        <w:spacing w:before="60" w:after="100"/>
      </w:pPr>
      <w:r>
        <w:rPr>
          <w:rFonts w:ascii="Arial" w:cs="Arial" w:eastAsia="Arial" w:hAnsi="Arial"/>
          <w:color w:val="374151"/>
          <w:sz w:val="22"/>
          <w:szCs w:val="22"/>
        </w:rPr>
        <w:t xml:space="preserve">Extended mkBarWithPnl() to the Return by Holding (member views) and Return by Account Type (family view) charts. P&amp;L for account type groups is calculated as totalValue − totalCost.</w:t>
      </w:r>
    </w:p>
    <w:p>
      <w:pPr>
        <w:pStyle w:val="Heading3"/>
        <w:spacing w:before="200" w:after="60"/>
      </w:pPr>
      <w:r>
        <w:rPr>
          <w:rFonts w:ascii="Arial" w:cs="Arial" w:eastAsia="Arial" w:hAnsi="Arial"/>
          <w:b/>
          <w:bCs/>
          <w:color w:val="374151"/>
          <w:sz w:val="22"/>
          <w:szCs w:val="22"/>
        </w:rPr>
        <w:t xml:space="preserve">Prompt 5</w:t>
      </w:r>
    </w:p>
    <w:p>
      <w:pPr>
        <w:pBdr>
          <w:left w:val="single" w:color="2563EB" w:sz="12" w:space="6"/>
        </w:pBdr>
        <w:shd w:fill="EFF6FF" w:val="clear"/>
        <w:spacing w:before="80" w:after="80"/>
        <w:ind w:left="720" w:right="360"/>
      </w:pPr>
      <w:r>
        <w:rPr>
          <w:rFonts w:ascii="Arial" w:cs="Arial" w:eastAsia="Arial" w:hAnsi="Arial"/>
          <w:i/>
          <w:iCs/>
          <w:color w:val="1D4ED8"/>
          <w:sz w:val="21"/>
          <w:szCs w:val="21"/>
        </w:rPr>
        <w:t xml:space="preserve">“Remove the reference to dates on the X-axis on the Return by Holding bar chart under the Member View. Show only the % and dollar amount in CAD by individual stock or mutual fund.”</w:t>
      </w:r>
    </w:p>
    <w:p>
      <w:pPr>
        <w:spacing w:before="60" w:after="100"/>
      </w:pPr>
      <w:r>
        <w:rPr>
          <w:rFonts w:ascii="Arial" w:cs="Arial" w:eastAsia="Arial" w:hAnsi="Arial"/>
          <w:color w:val="374151"/>
          <w:sz w:val="22"/>
          <w:szCs w:val="22"/>
        </w:rPr>
        <w:t xml:space="preserve">Removed (purchaseDate) from x-axis labels. Multiple lots of the same ticker are now aggregated into a single bar showing the combined return and P&amp;L across all purchase dates.</w:t>
      </w:r>
    </w:p>
    <w:p>
      <w:pPr>
        <w:spacing w:before="200" w:after="0"/>
      </w:pPr>
    </w:p>
    <w:p>
      <w:pPr>
        <w:pStyle w:val="Heading1"/>
        <w:pBdr>
          <w:bottom w:val="single" w:color="2563EB" w:sz="6" w:space="1"/>
        </w:pBdr>
        <w:spacing w:before="360" w:after="120"/>
      </w:pPr>
      <w:r>
        <w:rPr>
          <w:rFonts w:ascii="Arial" w:cs="Arial" w:eastAsia="Arial" w:hAnsi="Arial"/>
          <w:b/>
          <w:bCs/>
          <w:color w:val="2563EB"/>
          <w:sz w:val="36"/>
          <w:szCs w:val="36"/>
        </w:rPr>
        <w:t xml:space="preserve">Phase 4 — Historical FX Rate for All Calculations</w:t>
      </w:r>
    </w:p>
    <w:p>
      <w:pPr>
        <w:pStyle w:val="Heading3"/>
        <w:spacing w:before="200" w:after="60"/>
      </w:pPr>
      <w:r>
        <w:rPr>
          <w:rFonts w:ascii="Arial" w:cs="Arial" w:eastAsia="Arial" w:hAnsi="Arial"/>
          <w:b/>
          <w:bCs/>
          <w:color w:val="374151"/>
          <w:sz w:val="22"/>
          <w:szCs w:val="22"/>
        </w:rPr>
        <w:t xml:space="preserve">Prompt 6</w:t>
      </w:r>
    </w:p>
    <w:p>
      <w:pPr>
        <w:pBdr>
          <w:left w:val="single" w:color="2563EB" w:sz="12" w:space="6"/>
        </w:pBdr>
        <w:shd w:fill="EFF6FF" w:val="clear"/>
        <w:spacing w:before="80" w:after="80"/>
        <w:ind w:left="720" w:right="360"/>
      </w:pPr>
      <w:r>
        <w:rPr>
          <w:rFonts w:ascii="Arial" w:cs="Arial" w:eastAsia="Arial" w:hAnsi="Arial"/>
          <w:i/>
          <w:iCs/>
          <w:color w:val="1D4ED8"/>
          <w:sz w:val="21"/>
          <w:szCs w:val="21"/>
        </w:rPr>
        <w:t xml:space="preserve">“When calculating the portfolio value (Annual Return by Year, Return by Holding, Return by Member, Net Worth Over Time) for each member view and family view, please take into account the closing value of the CDN vs. USD exchange rate for that specific day.”</w:t>
      </w:r>
    </w:p>
    <w:p>
      <w:pPr>
        <w:spacing w:before="60" w:after="100"/>
      </w:pPr>
      <w:r>
        <w:rPr>
          <w:rFonts w:ascii="Arial" w:cs="Arial" w:eastAsia="Arial" w:hAnsi="Arial"/>
          <w:color w:val="374151"/>
          <w:sz w:val="22"/>
          <w:szCs w:val="22"/>
        </w:rPr>
        <w:t xml:space="preserve">This was the most significant change of the session. Previously, all historical calculations used the current live USD/CAD rate for every date — meaning a 2023 year-end value was being converted at today’s 2026 rate.</w:t>
      </w:r>
    </w:p>
    <w:p>
      <w:pPr>
        <w:pStyle w:val="Heading2"/>
        <w:spacing w:before="280" w:after="80"/>
      </w:pPr>
      <w:r>
        <w:rPr>
          <w:rFonts w:ascii="Arial" w:cs="Arial" w:eastAsia="Arial" w:hAnsi="Arial"/>
          <w:b/>
          <w:bCs/>
          <w:color w:val="374151"/>
          <w:sz w:val="26"/>
          <w:szCs w:val="26"/>
        </w:rPr>
        <w:t xml:space="preserve">Solution</w:t>
      </w:r>
    </w:p>
    <w:p>
      <w:pPr>
        <w:spacing w:before="60" w:after="100"/>
      </w:pPr>
      <w:r>
        <w:rPr>
          <w:rFonts w:ascii="Arial" w:cs="Arial" w:eastAsia="Arial" w:hAnsi="Arial"/>
          <w:color w:val="374151"/>
          <w:sz w:val="22"/>
          <w:szCs w:val="22"/>
        </w:rPr>
        <w:t xml:space="preserve">On startup, the app now fetches 3 years of daily USD/CAD closing rates from the Frankfurter.app free API (no key required, CORS-safe), storing them in a fxHistory map keyed by YYYY-MM-DD.</w:t>
      </w:r>
    </w:p>
    <w:p>
      <w:pPr>
        <w:pStyle w:val="ListParagraph"/>
        <w:numPr>
          <w:ilvl w:val="0"/>
          <w:numId w:val="2"/>
        </w:numPr>
        <w:spacing w:before="40" w:after="40"/>
      </w:pPr>
      <w:r>
        <w:rPr>
          <w:rFonts w:ascii="Arial" w:cs="Arial" w:eastAsia="Arial" w:hAnsi="Arial"/>
          <w:color w:val="374151"/>
          <w:sz w:val="22"/>
          <w:szCs w:val="22"/>
        </w:rPr>
        <w:t xml:space="preserve">fxRateForDate(dk): looks up the exact date; if missing (weekend/holiday), walks backward up to 5 calendar days for the nearest prior business day’s rate.</w:t>
      </w:r>
    </w:p>
    <w:p>
      <w:pPr>
        <w:pStyle w:val="ListParagraph"/>
        <w:numPr>
          <w:ilvl w:val="0"/>
          <w:numId w:val="2"/>
        </w:numPr>
        <w:spacing w:before="40" w:after="40"/>
      </w:pPr>
      <w:r>
        <w:rPr>
          <w:rFonts w:ascii="Arial" w:cs="Arial" w:eastAsia="Arial" w:hAnsi="Arial"/>
          <w:color w:val="374151"/>
          <w:sz w:val="22"/>
          <w:szCs w:val="22"/>
        </w:rPr>
        <w:t xml:space="preserve">toStockCurAt(amount, fromCur, toCur, dk): replaced toStockCur() everywhere historical accuracy matters.</w:t>
      </w:r>
    </w:p>
    <w:p>
      <w:pPr>
        <w:pStyle w:val="ListParagraph"/>
        <w:numPr>
          <w:ilvl w:val="0"/>
          <w:numId w:val="2"/>
        </w:numPr>
        <w:spacing w:before="40" w:after="40"/>
      </w:pPr>
      <w:r>
        <w:rPr>
          <w:rFonts w:ascii="Arial" w:cs="Arial" w:eastAsia="Arial" w:hAnsi="Arial"/>
          <w:color w:val="374151"/>
          <w:sz w:val="22"/>
          <w:szCs w:val="22"/>
        </w:rPr>
        <w:t xml:space="preserve">Falls back gracefully to the live rate if history has not yet loaded.</w:t>
      </w:r>
    </w:p>
    <w:p>
      <w:pPr>
        <w:spacing w:before="120" w:after="0"/>
      </w:pPr>
    </w:p>
    <w:p>
      <w:pPr>
        <w:pStyle w:val="Heading2"/>
        <w:spacing w:before="280" w:after="80"/>
      </w:pPr>
      <w:r>
        <w:rPr>
          <w:rFonts w:ascii="Arial" w:cs="Arial" w:eastAsia="Arial" w:hAnsi="Arial"/>
          <w:b/>
          <w:bCs/>
          <w:color w:val="374151"/>
          <w:sz w:val="26"/>
          <w:szCs w:val="26"/>
        </w:rPr>
        <w:t xml:space="preserve">Historical FX Applied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Calculation</w:t>
            </w:r>
          </w:p>
        </w:tc>
        <w:tc>
          <w:tcPr>
            <w:tcW w:type="dxa" w:w="468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FX Rate Now Used</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Net Worth Over Time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Each bar uses its own calendar date’s closing rate</w:t>
            </w:r>
          </w:p>
        </w:tc>
      </w:tr>
      <w:tr>
        <w:tc>
          <w:tcPr>
            <w:tcW w:type="dxa" w:w="468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Annual Return by Year — year-end</w:t>
            </w:r>
          </w:p>
        </w:tc>
        <w:tc>
          <w:tcPr>
            <w:tcW w:type="dxa" w:w="468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Dec 31 closing rate (last business day)</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Annual Return by Year — year-start</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Prior Dec 31 closing rate</w:t>
            </w:r>
          </w:p>
        </w:tc>
      </w:tr>
      <w:tr>
        <w:tc>
          <w:tcPr>
            <w:tcW w:type="dxa" w:w="468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Annual Return by Year — mid-year buy</w:t>
            </w:r>
          </w:p>
        </w:tc>
        <w:tc>
          <w:tcPr>
            <w:tcW w:type="dxa" w:w="468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Purchase-date rate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Return by Holding — cost basis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Purchase-date rate</w:t>
            </w:r>
          </w:p>
        </w:tc>
      </w:tr>
      <w:tr>
        <w:tc>
          <w:tcPr>
            <w:tcW w:type="dxa" w:w="468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Return by Holding — current value</w:t>
            </w:r>
          </w:p>
        </w:tc>
        <w:tc>
          <w:tcPr>
            <w:tcW w:type="dxa" w:w="468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Today’s live rate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Daily / Monthly / YTD</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Each reference price uses its specific reference date’s rate</w:t>
            </w:r>
          </w:p>
        </w:tc>
      </w:tr>
    </w:tbl>
    <w:p>
      <w:pPr>
        <w:spacing w:before="200" w:after="0"/>
      </w:pPr>
    </w:p>
    <w:p>
      <w:pPr>
        <w:pStyle w:val="Heading1"/>
        <w:pBdr>
          <w:bottom w:val="single" w:color="2563EB" w:sz="6" w:space="1"/>
        </w:pBdr>
        <w:spacing w:before="360" w:after="120"/>
      </w:pPr>
      <w:r>
        <w:rPr>
          <w:rFonts w:ascii="Arial" w:cs="Arial" w:eastAsia="Arial" w:hAnsi="Arial"/>
          <w:b/>
          <w:bCs/>
          <w:color w:val="2563EB"/>
          <w:sz w:val="36"/>
          <w:szCs w:val="36"/>
        </w:rPr>
        <w:t xml:space="preserve">Phase 5 — This Prompt Summary</w:t>
      </w:r>
    </w:p>
    <w:p>
      <w:pPr>
        <w:pStyle w:val="Heading3"/>
        <w:spacing w:before="200" w:after="60"/>
      </w:pPr>
      <w:r>
        <w:rPr>
          <w:rFonts w:ascii="Arial" w:cs="Arial" w:eastAsia="Arial" w:hAnsi="Arial"/>
          <w:b/>
          <w:bCs/>
          <w:color w:val="374151"/>
          <w:sz w:val="22"/>
          <w:szCs w:val="22"/>
        </w:rPr>
        <w:t xml:space="preserve">Prompt 7</w:t>
      </w:r>
    </w:p>
    <w:p>
      <w:pPr>
        <w:pBdr>
          <w:left w:val="single" w:color="2563EB" w:sz="12" w:space="6"/>
        </w:pBdr>
        <w:shd w:fill="EFF6FF" w:val="clear"/>
        <w:spacing w:before="80" w:after="80"/>
        <w:ind w:left="720" w:right="360"/>
      </w:pPr>
      <w:r>
        <w:rPr>
          <w:rFonts w:ascii="Arial" w:cs="Arial" w:eastAsia="Arial" w:hAnsi="Arial"/>
          <w:i/>
          <w:iCs/>
          <w:color w:val="1D4ED8"/>
          <w:sz w:val="21"/>
          <w:szCs w:val="21"/>
        </w:rPr>
        <w:t xml:space="preserve">“Summarize the prompt to .md and .docx file format.”</w:t>
      </w:r>
    </w:p>
    <w:p>
      <w:pPr>
        <w:spacing w:before="60" w:after="100"/>
      </w:pPr>
      <w:r>
        <w:rPr>
          <w:rFonts w:ascii="Arial" w:cs="Arial" w:eastAsia="Arial" w:hAnsi="Arial"/>
          <w:color w:val="374151"/>
          <w:sz w:val="22"/>
          <w:szCs w:val="22"/>
        </w:rPr>
        <w:t xml:space="preserve">Generated this document and a matching Markdown file covering all seven prompts from this session.</w:t>
      </w:r>
    </w:p>
    <w:p>
      <w:pPr>
        <w:spacing w:before="200" w:after="0"/>
      </w:pPr>
    </w:p>
    <w:p>
      <w:pPr>
        <w:pBdr>
          <w:bottom w:val="single" w:color="E5E7EB" w:sz="2" w:space="1"/>
        </w:pBdr>
        <w:spacing w:before="160" w:after="160"/>
      </w:pPr>
    </w:p>
    <w:p>
      <w:pPr>
        <w:spacing w:before="120" w:after="0"/>
      </w:pPr>
    </w:p>
    <w:p>
      <w:pPr>
        <w:pStyle w:val="Heading1"/>
        <w:pBdr>
          <w:bottom w:val="single" w:color="2563EB" w:sz="6" w:space="1"/>
        </w:pBdr>
        <w:spacing w:before="360" w:after="120"/>
      </w:pPr>
      <w:r>
        <w:rPr>
          <w:rFonts w:ascii="Arial" w:cs="Arial" w:eastAsia="Arial" w:hAnsi="Arial"/>
          <w:b/>
          <w:bCs/>
          <w:color w:val="2563EB"/>
          <w:sz w:val="36"/>
          <w:szCs w:val="36"/>
        </w:rPr>
        <w:t xml:space="preserve">Cumulative Feature List — All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rPr>
          <w:tblHeader/>
        </w:trPr>
        <w:tc>
          <w:tcPr>
            <w:tcW w:type="dxa" w:w="144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Session</w:t>
            </w:r>
          </w:p>
        </w:tc>
        <w:tc>
          <w:tcPr>
            <w:tcW w:type="dxa" w:w="792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 Features</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V1</w:t>
            </w:r>
          </w:p>
        </w:tc>
        <w:tc>
          <w:tcPr>
            <w:tcW w:type="dxa" w:w="7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Single-member portfolio tracker, Yahoo Finance prices, basic HTML</w:t>
            </w:r>
          </w:p>
        </w:tc>
      </w:tr>
      <w:tr>
        <w:tc>
          <w:tcPr>
            <w:tcW w:type="dxa" w:w="144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V2</w:t>
            </w:r>
          </w:p>
        </w:tc>
        <w:tc>
          <w:tcPr>
            <w:tcW w:type="dxa" w:w="79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Multi-member family views, consolidated family tab</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V3</w:t>
            </w:r>
          </w:p>
        </w:tc>
        <w:tc>
          <w:tcPr>
            <w:tcW w:type="dxa" w:w="7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Financial institutions (RBC, CIBC, TD, WealthSimple), Canadian account types (RRSP, TFSA, Non-Reg)</w:t>
            </w:r>
          </w:p>
        </w:tc>
      </w:tr>
      <w:tr>
        <w:tc>
          <w:tcPr>
            <w:tcW w:type="dxa" w:w="144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V4</w:t>
            </w:r>
          </w:p>
        </w:tc>
        <w:tc>
          <w:tcPr>
            <w:tcW w:type="dxa" w:w="79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CAD/USD dual currency, live FX rate, per-account currency tracking</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V5</w:t>
            </w:r>
          </w:p>
        </w:tc>
        <w:tc>
          <w:tcPr>
            <w:tcW w:type="dxa" w:w="7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Light mode UI, 60-second auto-refresh, Net Worth Over Time charts</w:t>
            </w:r>
          </w:p>
        </w:tc>
      </w:tr>
      <w:tr>
        <w:tc>
          <w:tcPr>
            <w:tcW w:type="dxa" w:w="144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V6</w:t>
            </w:r>
          </w:p>
        </w:tc>
        <w:tc>
          <w:tcPr>
            <w:tcW w:type="dxa" w:w="79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ROI chart filters (member, institution, account type, ticker), holdings table ticker filter</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V7</w:t>
            </w:r>
          </w:p>
        </w:tc>
        <w:tc>
          <w:tcPr>
            <w:tcW w:type="dxa" w:w="7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Net Worth dollar charts replacing ROI%, CA$/US$ currency toggles on charts</w:t>
            </w:r>
          </w:p>
        </w:tc>
      </w:tr>
      <w:tr>
        <w:tc>
          <w:tcPr>
            <w:tcW w:type="dxa" w:w="144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V8</w:t>
            </w:r>
          </w:p>
        </w:tc>
        <w:tc>
          <w:tcPr>
            <w:tcW w:type="dxa" w:w="79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CAGR fix for sub-year holdings, price chip ticker strip, auto-refresh fix</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V9</w:t>
            </w:r>
          </w:p>
        </w:tc>
        <w:tc>
          <w:tcPr>
            <w:tcW w:type="dxa" w:w="7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Split-adjusted price chip fix, FX fetch 4-source fallback, Cloudflare Worker CORS proxy, ticker allocation pie charts, iOS/GitHub Pages guidance</w:t>
            </w:r>
          </w:p>
        </w:tc>
      </w:tr>
      <w:tr>
        <w:tc>
          <w:tcPr>
            <w:tcW w:type="dxa" w:w="144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V10</w:t>
            </w:r>
          </w:p>
        </w:tc>
        <w:tc>
          <w:tcPr>
            <w:tcW w:type="dxa" w:w="79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Shares + value on pie tooltips, Annual Return by Year bar chart, P&amp;L labels on bar charts, ticker aggregation on Return by Holding, historical daily FX rates for all calculations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2563EB"/>
      <w:sz w:val="36"/>
      <w:szCs w:val="36"/>
    </w:rPr>
  </w:style>
  <w:style w:type="paragraph" w:styleId="Heading2">
    <w:name w:val="Heading 2"/>
    <w:basedOn w:val="Normal"/>
    <w:next w:val="Normal"/>
    <w:qFormat/>
    <w:pPr>
      <w:spacing w:before="280" w:after="80"/>
      <w:outlineLvl w:val="1"/>
    </w:pPr>
    <w:rPr>
      <w:rFonts w:ascii="Arial" w:cs="Arial" w:eastAsia="Arial" w:hAnsi="Arial"/>
      <w:b/>
      <w:bCs/>
      <w:color w:val="374151"/>
      <w:sz w:val="26"/>
      <w:szCs w:val="26"/>
    </w:rPr>
  </w:style>
  <w:style w:type="paragraph" w:styleId="Heading3">
    <w:name w:val="Heading 3"/>
    <w:basedOn w:val="Normal"/>
    <w:next w:val="Normal"/>
    <w:qFormat/>
    <w:pPr>
      <w:spacing w:before="200" w:after="6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2026-03-08T08:38:43.096Z</dcterms:created>
  <dcterms:modified xsi:type="dcterms:W3CDTF">2026-03-08T08:38:43.097Z</dcterms:modified>
</cp:coreProperties>
</file>

<file path=docProps/custom.xml><?xml version="1.0" encoding="utf-8"?>
<Properties xmlns="http://schemas.openxmlformats.org/officeDocument/2006/custom-properties" xmlns:vt="http://schemas.openxmlformats.org/officeDocument/2006/docPropsVTypes"/>
</file>